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2A740">
      <w:pPr>
        <w:autoSpaceDE w:val="0"/>
        <w:autoSpaceDN w:val="0"/>
        <w:adjustRightInd w:val="0"/>
        <w:jc w:val="left"/>
        <w:outlineLvl w:val="0"/>
        <w:rPr>
          <w:rFonts w:hint="default" w:eastAsia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eastAsia="黑体"/>
          <w:color w:val="auto"/>
          <w:kern w:val="0"/>
          <w:sz w:val="32"/>
          <w:szCs w:val="32"/>
          <w:highlight w:val="none"/>
        </w:rPr>
        <w:t>附件</w:t>
      </w:r>
      <w:r>
        <w:rPr>
          <w:rFonts w:hint="eastAsia" w:eastAsia="黑体"/>
          <w:color w:val="auto"/>
          <w:kern w:val="0"/>
          <w:sz w:val="32"/>
          <w:szCs w:val="32"/>
          <w:highlight w:val="none"/>
          <w:lang w:val="en-US" w:eastAsia="zh-CN"/>
        </w:rPr>
        <w:t>2</w:t>
      </w:r>
    </w:p>
    <w:p w14:paraId="760AAFE8">
      <w:pPr>
        <w:autoSpaceDE w:val="0"/>
        <w:autoSpaceDN w:val="0"/>
        <w:adjustRightInd w:val="0"/>
        <w:snapToGrid w:val="0"/>
        <w:spacing w:line="579" w:lineRule="exact"/>
        <w:jc w:val="center"/>
        <w:rPr>
          <w:rFonts w:hint="eastAsia" w:ascii="黑体" w:hAnsi="黑体" w:eastAsia="黑体" w:cs="宋体"/>
          <w:color w:val="auto"/>
          <w:kern w:val="0"/>
          <w:sz w:val="40"/>
          <w:szCs w:val="40"/>
          <w:highlight w:val="none"/>
        </w:rPr>
      </w:pPr>
      <w:r>
        <w:rPr>
          <w:rFonts w:hint="eastAsia" w:ascii="黑体" w:hAnsi="黑体" w:eastAsia="黑体" w:cs="方正小标宋简体"/>
          <w:color w:val="auto"/>
          <w:kern w:val="0"/>
          <w:sz w:val="40"/>
          <w:szCs w:val="40"/>
          <w:highlight w:val="none"/>
          <w:lang w:val="en-US" w:eastAsia="zh-CN"/>
        </w:rPr>
        <w:t>台山市工业园区水污染问题排查项目</w:t>
      </w:r>
      <w:r>
        <w:rPr>
          <w:rFonts w:hint="eastAsia" w:ascii="黑体" w:hAnsi="黑体" w:eastAsia="黑体" w:cs="宋体"/>
          <w:color w:val="auto"/>
          <w:kern w:val="0"/>
          <w:sz w:val="40"/>
          <w:szCs w:val="40"/>
          <w:highlight w:val="none"/>
        </w:rPr>
        <w:t>评分表</w:t>
      </w:r>
    </w:p>
    <w:tbl>
      <w:tblPr>
        <w:tblStyle w:val="6"/>
        <w:tblW w:w="106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073"/>
        <w:gridCol w:w="7481"/>
        <w:gridCol w:w="709"/>
        <w:gridCol w:w="709"/>
      </w:tblGrid>
      <w:tr w14:paraId="3825F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691" w:type="dxa"/>
            <w:vAlign w:val="center"/>
          </w:tcPr>
          <w:p w14:paraId="41BC614A">
            <w:pPr>
              <w:autoSpaceDE w:val="0"/>
              <w:autoSpaceDN w:val="0"/>
              <w:adjustRightInd w:val="0"/>
              <w:snapToGrid w:val="0"/>
              <w:spacing w:line="264" w:lineRule="auto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073" w:type="dxa"/>
            <w:vAlign w:val="center"/>
          </w:tcPr>
          <w:p w14:paraId="63D364BB">
            <w:pPr>
              <w:autoSpaceDE w:val="0"/>
              <w:autoSpaceDN w:val="0"/>
              <w:adjustRightInd w:val="0"/>
              <w:snapToGrid w:val="0"/>
              <w:spacing w:line="264" w:lineRule="auto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  <w:t>评审因素</w:t>
            </w:r>
          </w:p>
        </w:tc>
        <w:tc>
          <w:tcPr>
            <w:tcW w:w="7481" w:type="dxa"/>
            <w:vAlign w:val="center"/>
          </w:tcPr>
          <w:p w14:paraId="6B38B7A2">
            <w:pPr>
              <w:autoSpaceDE w:val="0"/>
              <w:autoSpaceDN w:val="0"/>
              <w:adjustRightInd w:val="0"/>
              <w:snapToGrid w:val="0"/>
              <w:spacing w:line="264" w:lineRule="auto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  <w:t>评分细则</w:t>
            </w:r>
          </w:p>
        </w:tc>
        <w:tc>
          <w:tcPr>
            <w:tcW w:w="709" w:type="dxa"/>
            <w:vAlign w:val="center"/>
          </w:tcPr>
          <w:p w14:paraId="54A3A0A6">
            <w:pPr>
              <w:autoSpaceDE w:val="0"/>
              <w:autoSpaceDN w:val="0"/>
              <w:adjustRightInd w:val="0"/>
              <w:snapToGrid w:val="0"/>
              <w:spacing w:line="264" w:lineRule="auto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  <w:t>分值（分）</w:t>
            </w:r>
          </w:p>
        </w:tc>
        <w:tc>
          <w:tcPr>
            <w:tcW w:w="709" w:type="dxa"/>
            <w:vAlign w:val="center"/>
          </w:tcPr>
          <w:p w14:paraId="594AE79A">
            <w:pPr>
              <w:autoSpaceDE w:val="0"/>
              <w:autoSpaceDN w:val="0"/>
              <w:adjustRightInd w:val="0"/>
              <w:snapToGrid w:val="0"/>
              <w:spacing w:line="264" w:lineRule="auto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得分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  <w:t>（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分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  <w:t>）</w:t>
            </w:r>
          </w:p>
        </w:tc>
      </w:tr>
      <w:tr w14:paraId="49117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0663" w:type="dxa"/>
            <w:gridSpan w:val="5"/>
            <w:vAlign w:val="center"/>
          </w:tcPr>
          <w:p w14:paraId="4282FB9F">
            <w:pPr>
              <w:autoSpaceDE w:val="0"/>
              <w:autoSpaceDN w:val="0"/>
              <w:adjustRightInd w:val="0"/>
              <w:snapToGrid w:val="0"/>
              <w:spacing w:line="240" w:lineRule="auto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  <w:t>一、技术部分 （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40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1"/>
                <w:szCs w:val="21"/>
                <w:highlight w:val="none"/>
              </w:rPr>
              <w:t>分）</w:t>
            </w:r>
          </w:p>
        </w:tc>
      </w:tr>
      <w:tr w14:paraId="6E99C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  <w:jc w:val="center"/>
        </w:trPr>
        <w:tc>
          <w:tcPr>
            <w:tcW w:w="691" w:type="dxa"/>
            <w:vAlign w:val="center"/>
          </w:tcPr>
          <w:p w14:paraId="1C35AC9A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6D1FCE8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技术服务方案</w:t>
            </w:r>
          </w:p>
          <w:p w14:paraId="4CCCE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7481" w:type="dxa"/>
            <w:shd w:val="clear" w:color="auto" w:fill="auto"/>
            <w:vAlign w:val="center"/>
          </w:tcPr>
          <w:p w14:paraId="3706E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bookmarkStart w:id="0" w:name="OLE_LINK3"/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①对相关政策法规及台山市工业园区水环境现状理解全面、准确；</w:t>
            </w:r>
          </w:p>
          <w:p w14:paraId="65B22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②对排查工作所涉园区企业分布、排水管网、周边水体及环境条件分析到位；</w:t>
            </w:r>
          </w:p>
          <w:p w14:paraId="1B25B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③对排查工作重点、难点把握准确，分析有针对性。</w:t>
            </w:r>
            <w:bookmarkEnd w:id="0"/>
          </w:p>
          <w:p w14:paraId="31AAC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优：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分；良：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分；中：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分；差：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分；未提供不得分。</w:t>
            </w:r>
          </w:p>
        </w:tc>
        <w:tc>
          <w:tcPr>
            <w:tcW w:w="709" w:type="dxa"/>
            <w:vAlign w:val="center"/>
          </w:tcPr>
          <w:p w14:paraId="459AC3D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15</w:t>
            </w:r>
          </w:p>
        </w:tc>
        <w:tc>
          <w:tcPr>
            <w:tcW w:w="709" w:type="dxa"/>
            <w:vAlign w:val="center"/>
          </w:tcPr>
          <w:p w14:paraId="59B5544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5590B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  <w:jc w:val="center"/>
        </w:trPr>
        <w:tc>
          <w:tcPr>
            <w:tcW w:w="691" w:type="dxa"/>
            <w:vAlign w:val="center"/>
          </w:tcPr>
          <w:p w14:paraId="6DF91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073" w:type="dxa"/>
            <w:vAlign w:val="center"/>
          </w:tcPr>
          <w:p w14:paraId="3A606BE0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  <w:p w14:paraId="77B89404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进度保障</w:t>
            </w:r>
          </w:p>
          <w:p w14:paraId="58717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7481" w:type="dxa"/>
            <w:vAlign w:val="center"/>
          </w:tcPr>
          <w:p w14:paraId="0668114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①</w:t>
            </w: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进度计划详细，关键节点清晰；</w:t>
            </w:r>
          </w:p>
          <w:p w14:paraId="1F1C2D2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②</w:t>
            </w: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保障措施具体、可操作性强。</w:t>
            </w:r>
          </w:p>
          <w:p w14:paraId="2CBE1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优：15分；良：10分；中：5分；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差：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分；未提供不得分。</w:t>
            </w:r>
          </w:p>
        </w:tc>
        <w:tc>
          <w:tcPr>
            <w:tcW w:w="709" w:type="dxa"/>
            <w:vAlign w:val="center"/>
          </w:tcPr>
          <w:p w14:paraId="27CB7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15</w:t>
            </w:r>
          </w:p>
        </w:tc>
        <w:tc>
          <w:tcPr>
            <w:tcW w:w="709" w:type="dxa"/>
            <w:vAlign w:val="center"/>
          </w:tcPr>
          <w:p w14:paraId="25F85185">
            <w:pPr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0DD32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691" w:type="dxa"/>
            <w:vAlign w:val="center"/>
          </w:tcPr>
          <w:p w14:paraId="4D9E8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073" w:type="dxa"/>
            <w:vAlign w:val="center"/>
          </w:tcPr>
          <w:p w14:paraId="438EB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售后服务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及响应速度</w:t>
            </w:r>
          </w:p>
        </w:tc>
        <w:tc>
          <w:tcPr>
            <w:tcW w:w="7481" w:type="dxa"/>
            <w:vAlign w:val="center"/>
          </w:tcPr>
          <w:p w14:paraId="7260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 xml:space="preserve">①售后服务方案完善，含成果答疑、图集修订、台账完善、后续技术支撑等配合措施； </w:t>
            </w:r>
          </w:p>
          <w:p w14:paraId="41D8B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②响应及时，接到工作通知后能够及时到场开展技术服务。</w:t>
            </w:r>
          </w:p>
          <w:p w14:paraId="33E4A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优：10分；良：8分；中：5分；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差：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分；未提供不得分。</w:t>
            </w:r>
          </w:p>
        </w:tc>
        <w:tc>
          <w:tcPr>
            <w:tcW w:w="709" w:type="dxa"/>
            <w:vAlign w:val="center"/>
          </w:tcPr>
          <w:p w14:paraId="68DB0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10</w:t>
            </w:r>
          </w:p>
        </w:tc>
        <w:tc>
          <w:tcPr>
            <w:tcW w:w="709" w:type="dxa"/>
            <w:vAlign w:val="center"/>
          </w:tcPr>
          <w:p w14:paraId="0F654090">
            <w:pPr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7BA90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0663" w:type="dxa"/>
            <w:gridSpan w:val="5"/>
            <w:vAlign w:val="center"/>
          </w:tcPr>
          <w:p w14:paraId="20A27EC1">
            <w:pPr>
              <w:autoSpaceDE w:val="0"/>
              <w:autoSpaceDN w:val="0"/>
              <w:adjustRightInd w:val="0"/>
              <w:snapToGrid w:val="0"/>
              <w:spacing w:line="240" w:lineRule="auto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  <w:szCs w:val="22"/>
                <w:highlight w:val="none"/>
              </w:rPr>
              <w:t>二、商务部分 （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40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  <w:szCs w:val="22"/>
                <w:highlight w:val="none"/>
              </w:rPr>
              <w:t>分）</w:t>
            </w:r>
          </w:p>
        </w:tc>
      </w:tr>
      <w:tr w14:paraId="5137D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691" w:type="dxa"/>
            <w:vAlign w:val="center"/>
          </w:tcPr>
          <w:p w14:paraId="52ACF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73" w:type="dxa"/>
            <w:vAlign w:val="center"/>
          </w:tcPr>
          <w:p w14:paraId="2CB5A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商同类项目业绩</w:t>
            </w:r>
          </w:p>
        </w:tc>
        <w:tc>
          <w:tcPr>
            <w:tcW w:w="7481" w:type="dxa"/>
            <w:vAlign w:val="center"/>
          </w:tcPr>
          <w:p w14:paraId="1659F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近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年（自投标截止日往前推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60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个月）承担过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水污染问题评估、排查</w:t>
            </w:r>
            <w:bookmarkStart w:id="3" w:name="_GoBack"/>
            <w:bookmarkEnd w:id="3"/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等同类项目业绩：每提供1项得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分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本项满分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分，同一项目不重复计分。</w:t>
            </w:r>
          </w:p>
          <w:p w14:paraId="762BF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2"/>
                <w:szCs w:val="22"/>
                <w:highlight w:val="none"/>
              </w:rPr>
              <w:t>注：提供加盖公章的合同关键信息（含签订合同双方的单位名称、合同项目名称、服务内容与含签订合同双方的落款盖章、签订日期的关键页）复印件作为得分依据。以合同签订时间为准。</w:t>
            </w:r>
          </w:p>
        </w:tc>
        <w:tc>
          <w:tcPr>
            <w:tcW w:w="709" w:type="dxa"/>
            <w:vAlign w:val="center"/>
          </w:tcPr>
          <w:p w14:paraId="2AA31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20</w:t>
            </w:r>
          </w:p>
        </w:tc>
        <w:tc>
          <w:tcPr>
            <w:tcW w:w="709" w:type="dxa"/>
            <w:vAlign w:val="center"/>
          </w:tcPr>
          <w:p w14:paraId="59791D78">
            <w:pPr>
              <w:autoSpaceDE w:val="0"/>
              <w:autoSpaceDN w:val="0"/>
              <w:adjustRightInd w:val="0"/>
              <w:snapToGrid w:val="0"/>
              <w:spacing w:line="200" w:lineRule="exact"/>
              <w:ind w:left="-111" w:leftChars="-37" w:right="-105" w:rightChars="-35"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2167B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691" w:type="dxa"/>
            <w:vAlign w:val="center"/>
          </w:tcPr>
          <w:p w14:paraId="4743F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073" w:type="dxa"/>
            <w:vAlign w:val="center"/>
          </w:tcPr>
          <w:p w14:paraId="324B1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z w:val="22"/>
                <w:szCs w:val="22"/>
              </w:rPr>
              <w:t>项目团队</w:t>
            </w:r>
          </w:p>
        </w:tc>
        <w:tc>
          <w:tcPr>
            <w:tcW w:w="7481" w:type="dxa"/>
            <w:vAlign w:val="center"/>
          </w:tcPr>
          <w:p w14:paraId="7878F65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bookmarkStart w:id="1" w:name="OLE_LINK1"/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①项目负责人具有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生态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或环境类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测绘类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相关专业高级技术职称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或以上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的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（本项5分，未提供不得分）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；</w:t>
            </w:r>
          </w:p>
          <w:p w14:paraId="47396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②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投入本项目的技术人员（项目负责人除外）中，每具有1名生态或环境类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测绘类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相关专业高级或以上专业技术职称人员得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分，每具有1名生态或环境类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测绘类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相关专业中级专业技术职称人员得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分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每具有1名生态或环境类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测绘类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相关专业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初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级专业技术职称人员得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分。如一人具有多个同一等级技术职称的，按一个技术职称评审；不重复计分。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本项最高得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分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无不得分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  <w:t>。</w:t>
            </w:r>
          </w:p>
          <w:p w14:paraId="10D0E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注：须提供</w:t>
            </w:r>
            <w:r>
              <w:rPr>
                <w:rFonts w:hint="eastAsia" w:ascii="宋体" w:hAnsi="宋体" w:cs="宋体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相关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证</w:t>
            </w:r>
            <w:r>
              <w:rPr>
                <w:rFonts w:hint="eastAsia" w:ascii="宋体" w:hAnsi="宋体" w:cs="宋体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书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及</w:t>
            </w:r>
            <w:bookmarkEnd w:id="1"/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本项目投标截止日前3个月内任意1个月的由</w:t>
            </w:r>
            <w:r>
              <w:rPr>
                <w:rFonts w:hint="eastAsia" w:ascii="宋体" w:hAnsi="宋体" w:cs="宋体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商为其购买的社保证明加盖</w:t>
            </w:r>
            <w:r>
              <w:rPr>
                <w:rFonts w:hint="eastAsia" w:ascii="宋体" w:hAnsi="宋体" w:cs="宋体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服务商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公章，无或缺项或未按要求递交证明材料的不得分</w:t>
            </w:r>
          </w:p>
        </w:tc>
        <w:tc>
          <w:tcPr>
            <w:tcW w:w="709" w:type="dxa"/>
            <w:vAlign w:val="center"/>
          </w:tcPr>
          <w:p w14:paraId="755F8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20</w:t>
            </w:r>
          </w:p>
        </w:tc>
        <w:tc>
          <w:tcPr>
            <w:tcW w:w="709" w:type="dxa"/>
            <w:vAlign w:val="center"/>
          </w:tcPr>
          <w:p w14:paraId="34C14660">
            <w:pPr>
              <w:autoSpaceDE w:val="0"/>
              <w:autoSpaceDN w:val="0"/>
              <w:adjustRightInd w:val="0"/>
              <w:snapToGrid w:val="0"/>
              <w:spacing w:line="200" w:lineRule="exact"/>
              <w:ind w:left="-111" w:leftChars="-37" w:right="-105" w:rightChars="-35"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09386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10663" w:type="dxa"/>
            <w:gridSpan w:val="5"/>
            <w:vAlign w:val="center"/>
          </w:tcPr>
          <w:p w14:paraId="75158735">
            <w:pPr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三、价格部分（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分）</w:t>
            </w:r>
          </w:p>
        </w:tc>
      </w:tr>
      <w:tr w14:paraId="6161E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1" w:hRule="atLeast"/>
          <w:jc w:val="center"/>
        </w:trPr>
        <w:tc>
          <w:tcPr>
            <w:tcW w:w="691" w:type="dxa"/>
            <w:vAlign w:val="center"/>
          </w:tcPr>
          <w:p w14:paraId="1F6D2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73" w:type="dxa"/>
            <w:vAlign w:val="center"/>
          </w:tcPr>
          <w:p w14:paraId="5013D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价格得分</w:t>
            </w:r>
          </w:p>
        </w:tc>
        <w:tc>
          <w:tcPr>
            <w:tcW w:w="7481" w:type="dxa"/>
            <w:vAlign w:val="center"/>
          </w:tcPr>
          <w:p w14:paraId="199DF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bookmarkStart w:id="2" w:name="OLE_LINK2"/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采用低价优先法计算：</w:t>
            </w:r>
          </w:p>
          <w:p w14:paraId="03FB0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投标报价得分=（评标基准价÷投标报价）×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  <w:p w14:paraId="472BB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评标基准价=满足招标文件要求且投标价格最低的投标报价。</w:t>
            </w:r>
          </w:p>
          <w:bookmarkEnd w:id="2"/>
          <w:p w14:paraId="2965E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注：对符合规定的小型和微型企业（监狱企业、残疾人福利单位视同小型、微型企业）报价给予10%的价格扣除。因落实政府采购政策进行价格调整的，以调整后的价格计算评标基准价和投标报价。价格得分四舍五入后保留小数点后两位有效数。</w:t>
            </w:r>
          </w:p>
        </w:tc>
        <w:tc>
          <w:tcPr>
            <w:tcW w:w="709" w:type="dxa"/>
            <w:vAlign w:val="center"/>
          </w:tcPr>
          <w:p w14:paraId="1F21B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09" w:type="dxa"/>
            <w:vAlign w:val="center"/>
          </w:tcPr>
          <w:p w14:paraId="6B08DADC">
            <w:pPr>
              <w:autoSpaceDE w:val="0"/>
              <w:autoSpaceDN w:val="0"/>
              <w:adjustRightInd w:val="0"/>
              <w:snapToGrid w:val="0"/>
              <w:spacing w:line="200" w:lineRule="exact"/>
              <w:ind w:left="-111" w:leftChars="-37" w:right="-105" w:rightChars="-35"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138C7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9245" w:type="dxa"/>
            <w:gridSpan w:val="3"/>
            <w:vAlign w:val="center"/>
          </w:tcPr>
          <w:p w14:paraId="54003457">
            <w:pPr>
              <w:autoSpaceDE w:val="0"/>
              <w:autoSpaceDN w:val="0"/>
              <w:adjustRightInd w:val="0"/>
              <w:snapToGrid w:val="0"/>
              <w:spacing w:line="200" w:lineRule="exact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合计</w:t>
            </w:r>
          </w:p>
        </w:tc>
        <w:tc>
          <w:tcPr>
            <w:tcW w:w="709" w:type="dxa"/>
            <w:vAlign w:val="center"/>
          </w:tcPr>
          <w:p w14:paraId="5842D867">
            <w:pPr>
              <w:autoSpaceDE w:val="0"/>
              <w:autoSpaceDN w:val="0"/>
              <w:adjustRightInd w:val="0"/>
              <w:snapToGrid w:val="0"/>
              <w:spacing w:line="200" w:lineRule="exact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 xml:space="preserve">100分 </w:t>
            </w:r>
          </w:p>
        </w:tc>
        <w:tc>
          <w:tcPr>
            <w:tcW w:w="709" w:type="dxa"/>
            <w:vAlign w:val="center"/>
          </w:tcPr>
          <w:p w14:paraId="0D7D98B2">
            <w:pPr>
              <w:autoSpaceDE w:val="0"/>
              <w:autoSpaceDN w:val="0"/>
              <w:adjustRightInd w:val="0"/>
              <w:snapToGrid w:val="0"/>
              <w:spacing w:line="200" w:lineRule="exact"/>
              <w:ind w:left="-111" w:leftChars="-37" w:right="-105" w:rightChars="-35"/>
              <w:jc w:val="center"/>
              <w:rPr>
                <w:rFonts w:ascii="宋体" w:hAnsi="宋体" w:cs="宋体"/>
                <w:b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</w:tbl>
    <w:p w14:paraId="15A7FF45">
      <w:pPr>
        <w:widowControl/>
        <w:ind w:left="-1200" w:leftChars="-400" w:firstLine="0" w:firstLineChars="0"/>
        <w:jc w:val="both"/>
        <w:outlineLvl w:val="0"/>
        <w:rPr>
          <w:rFonts w:hint="eastAsia" w:ascii="宋体" w:hAnsi="宋体" w:cs="宋体"/>
          <w:color w:val="auto"/>
          <w:kern w:val="0"/>
          <w:sz w:val="21"/>
          <w:szCs w:val="21"/>
          <w:highlight w:val="none"/>
        </w:rPr>
      </w:pPr>
    </w:p>
    <w:p w14:paraId="20D7310E">
      <w:pPr>
        <w:widowControl/>
        <w:ind w:left="-1200" w:leftChars="-400" w:right="-93" w:rightChars="-31" w:firstLine="0" w:firstLineChars="0"/>
        <w:jc w:val="both"/>
        <w:outlineLvl w:val="0"/>
        <w:rPr>
          <w:color w:val="auto"/>
          <w:highlight w:val="none"/>
        </w:rPr>
      </w:pP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</w:rPr>
        <w:t>评审人签名：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lang w:val="en-US" w:eastAsia="zh-CN"/>
        </w:rPr>
        <w:t xml:space="preserve">                                                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</w:rPr>
        <w:t>评审日期：       年     月     日</w:t>
      </w:r>
    </w:p>
    <w:sectPr>
      <w:pgSz w:w="11906" w:h="16838"/>
      <w:pgMar w:top="1043" w:right="1746" w:bottom="98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1B6B62"/>
    <w:rsid w:val="02B872D8"/>
    <w:rsid w:val="07537C49"/>
    <w:rsid w:val="095A2369"/>
    <w:rsid w:val="140A6DEE"/>
    <w:rsid w:val="144A7E38"/>
    <w:rsid w:val="19934A05"/>
    <w:rsid w:val="1A5721F0"/>
    <w:rsid w:val="257F2970"/>
    <w:rsid w:val="262C3382"/>
    <w:rsid w:val="2F414E54"/>
    <w:rsid w:val="31DB30C4"/>
    <w:rsid w:val="365A3471"/>
    <w:rsid w:val="36E3667F"/>
    <w:rsid w:val="37B82407"/>
    <w:rsid w:val="38DF3B98"/>
    <w:rsid w:val="3E510C83"/>
    <w:rsid w:val="3F0874F8"/>
    <w:rsid w:val="43590756"/>
    <w:rsid w:val="4362139B"/>
    <w:rsid w:val="451B6B62"/>
    <w:rsid w:val="4EC25F65"/>
    <w:rsid w:val="51E12B5B"/>
    <w:rsid w:val="55A2658D"/>
    <w:rsid w:val="5A7A715F"/>
    <w:rsid w:val="5BBB12E3"/>
    <w:rsid w:val="5CF96556"/>
    <w:rsid w:val="5E5B6C50"/>
    <w:rsid w:val="66057158"/>
    <w:rsid w:val="6714728E"/>
    <w:rsid w:val="68441348"/>
    <w:rsid w:val="6D91791B"/>
    <w:rsid w:val="71511DF8"/>
    <w:rsid w:val="71FF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spacing w:before="997"/>
      <w:ind w:left="104"/>
    </w:pPr>
    <w:rPr>
      <w:rFonts w:ascii="宋体"/>
      <w:sz w:val="18"/>
    </w:r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Body Text First Indent"/>
    <w:basedOn w:val="3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1158</Words>
  <Characters>1181</Characters>
  <Lines>0</Lines>
  <Paragraphs>0</Paragraphs>
  <TotalTime>11</TotalTime>
  <ScaleCrop>false</ScaleCrop>
  <LinksUpToDate>false</LinksUpToDate>
  <CharactersWithSpaces>1249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2023-05-17T03:35:00Z</dcterms:created>
  <dc:creator>李耀明</dc:creator>
  <cp:lastModifiedBy>Administrator</cp:lastModifiedBy>
  <dcterms:modified xsi:type="dcterms:W3CDTF">2026-10-29T09:01:41Z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3797C8B355AE4C92A3967938D1490C8D_12</vt:lpwstr>
  </property>
  <property fmtid="{D5CDD505-2E9C-101B-9397-08002B2CF9AE}" pid="5" name="KSOTemplateDocerSaveRecord">
    <vt:lpwstr>eyJoZGlkIjoiMDkxZTY0MGUyZGVlZmZiOWQyZDAzNzUxYmFkMTM2OWUiLCJ1c2VySWQiOiIyNTUxNzIwNzQifQ==</vt:lpwstr>
  </property>
</Properties>
</file>