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20" w:lineRule="exact"/>
        <w:jc w:val="both"/>
        <w:textAlignment w:val="auto"/>
        <w:rPr>
          <w:rFonts w:hint="eastAsia" w:ascii="方正黑体_GBK" w:hAnsi="方正黑体_GBK" w:eastAsia="方正黑体_GBK" w:cs="方正黑体_GBK"/>
          <w:b w:val="0"/>
          <w:bCs/>
          <w:sz w:val="30"/>
          <w:szCs w:val="30"/>
          <w:lang w:val="en-US" w:eastAsia="zh-CN"/>
        </w:rPr>
      </w:pPr>
      <w:r>
        <w:rPr>
          <w:rFonts w:hint="eastAsia" w:ascii="方正黑体_GBK" w:hAnsi="方正黑体_GBK" w:eastAsia="方正黑体_GBK" w:cs="方正黑体_GBK"/>
          <w:b w:val="0"/>
          <w:bCs/>
          <w:sz w:val="30"/>
          <w:szCs w:val="30"/>
          <w:lang w:eastAsia="zh-CN"/>
        </w:rPr>
        <w:t>附件</w:t>
      </w:r>
      <w:r>
        <w:rPr>
          <w:rFonts w:hint="default" w:ascii="方正黑体_GBK" w:hAnsi="方正黑体_GBK" w:eastAsia="方正黑体_GBK" w:cs="方正黑体_GBK"/>
          <w:b w:val="0"/>
          <w:bCs/>
          <w:sz w:val="30"/>
          <w:szCs w:val="30"/>
          <w:lang w:eastAsia="zh-CN"/>
        </w:rPr>
        <w:t>4</w:t>
      </w:r>
    </w:p>
    <w:p>
      <w:pPr>
        <w:keepNext w:val="0"/>
        <w:keepLines w:val="0"/>
        <w:pageBreakBefore w:val="0"/>
        <w:kinsoku/>
        <w:wordWrap/>
        <w:overflowPunct/>
        <w:topLinePunct w:val="0"/>
        <w:autoSpaceDE/>
        <w:autoSpaceDN/>
        <w:bidi w:val="0"/>
        <w:spacing w:line="520" w:lineRule="exact"/>
        <w:jc w:val="both"/>
        <w:textAlignment w:val="auto"/>
        <w:rPr>
          <w:rFonts w:hint="eastAsia" w:ascii="方正黑体_GBK" w:hAnsi="方正黑体_GBK" w:eastAsia="方正黑体_GBK" w:cs="方正黑体_GBK"/>
          <w:b w:val="0"/>
          <w:bCs/>
          <w:sz w:val="32"/>
          <w:szCs w:val="32"/>
          <w:lang w:val="en-US" w:eastAsia="zh-CN"/>
        </w:rPr>
      </w:pPr>
    </w:p>
    <w:p>
      <w:pPr>
        <w:keepNext w:val="0"/>
        <w:keepLines w:val="0"/>
        <w:pageBreakBefore w:val="0"/>
        <w:kinsoku/>
        <w:wordWrap/>
        <w:overflowPunct/>
        <w:topLinePunct w:val="0"/>
        <w:autoSpaceDE/>
        <w:autoSpaceDN/>
        <w:bidi w:val="0"/>
        <w:spacing w:line="520" w:lineRule="exact"/>
        <w:jc w:val="center"/>
        <w:textAlignment w:val="auto"/>
        <w:rPr>
          <w:rFonts w:hint="default" w:ascii="Times New Roman" w:hAnsi="Times New Roman" w:eastAsia="方正小标宋简体" w:cs="Times New Roman"/>
          <w:b w:val="0"/>
          <w:bCs/>
          <w:sz w:val="36"/>
          <w:szCs w:val="36"/>
          <w:lang w:val="en-US"/>
        </w:rPr>
      </w:pPr>
      <w:r>
        <w:rPr>
          <w:rFonts w:hint="default" w:ascii="Times New Roman" w:hAnsi="Times New Roman" w:eastAsia="方正小标宋简体" w:cs="Times New Roman"/>
          <w:b w:val="0"/>
          <w:bCs/>
          <w:sz w:val="36"/>
          <w:szCs w:val="36"/>
        </w:rPr>
        <w:t>市本级招聘会活动项目</w:t>
      </w:r>
      <w:r>
        <w:rPr>
          <w:rFonts w:hint="eastAsia" w:ascii="Times New Roman" w:hAnsi="Times New Roman" w:eastAsia="方正小标宋简体" w:cs="Times New Roman"/>
          <w:b w:val="0"/>
          <w:bCs/>
          <w:sz w:val="36"/>
          <w:szCs w:val="36"/>
          <w:lang w:val="en-US" w:eastAsia="zh-CN"/>
        </w:rPr>
        <w:t>考核验收标准</w:t>
      </w:r>
    </w:p>
    <w:p>
      <w:pPr>
        <w:spacing w:line="520" w:lineRule="exact"/>
        <w:rPr>
          <w:sz w:val="36"/>
          <w:szCs w:val="36"/>
        </w:rPr>
      </w:pPr>
    </w:p>
    <w:tbl>
      <w:tblPr>
        <w:tblStyle w:val="5"/>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200"/>
        <w:gridCol w:w="4845"/>
        <w:gridCol w:w="939"/>
        <w:gridCol w:w="733"/>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25" w:hRule="atLeast"/>
          <w:tblHeader/>
          <w:jc w:val="center"/>
        </w:trPr>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黑体_GBK" w:cs="方正黑体_GBK"/>
                <w:b w:val="0"/>
                <w:bCs/>
                <w:sz w:val="24"/>
                <w:szCs w:val="24"/>
              </w:rPr>
            </w:pPr>
            <w:r>
              <w:rPr>
                <w:rFonts w:hint="eastAsia" w:ascii="Times New Roman" w:hAnsi="Times New Roman" w:eastAsia="方正黑体_GBK" w:cs="方正黑体_GBK"/>
                <w:b w:val="0"/>
                <w:bCs/>
                <w:sz w:val="24"/>
                <w:szCs w:val="24"/>
              </w:rPr>
              <w:t>序号</w:t>
            </w:r>
          </w:p>
        </w:tc>
        <w:tc>
          <w:tcPr>
            <w:tcW w:w="1200"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黑体_GBK" w:cs="方正黑体_GBK"/>
                <w:b w:val="0"/>
                <w:bCs/>
                <w:sz w:val="24"/>
                <w:szCs w:val="24"/>
              </w:rPr>
            </w:pPr>
            <w:r>
              <w:rPr>
                <w:rFonts w:hint="eastAsia" w:ascii="Times New Roman" w:hAnsi="Times New Roman" w:eastAsia="方正黑体_GBK" w:cs="方正黑体_GBK"/>
                <w:b w:val="0"/>
                <w:bCs/>
                <w:sz w:val="24"/>
                <w:szCs w:val="24"/>
              </w:rPr>
              <w:t>项目</w:t>
            </w: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center"/>
              <w:textAlignment w:val="auto"/>
              <w:rPr>
                <w:rFonts w:hint="eastAsia" w:ascii="Times New Roman" w:hAnsi="Times New Roman" w:eastAsia="方正黑体_GBK" w:cs="方正黑体_GBK"/>
                <w:b w:val="0"/>
                <w:bCs/>
                <w:sz w:val="24"/>
                <w:szCs w:val="24"/>
              </w:rPr>
            </w:pPr>
            <w:r>
              <w:rPr>
                <w:rFonts w:hint="eastAsia" w:ascii="Times New Roman" w:hAnsi="Times New Roman" w:eastAsia="方正黑体_GBK" w:cs="方正黑体_GBK"/>
                <w:b w:val="0"/>
                <w:bCs/>
                <w:sz w:val="24"/>
                <w:szCs w:val="24"/>
              </w:rPr>
              <w:t>评分要素</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黑体_GBK" w:cs="方正黑体_GBK"/>
                <w:b w:val="0"/>
                <w:bCs/>
                <w:sz w:val="24"/>
                <w:szCs w:val="24"/>
              </w:rPr>
            </w:pPr>
            <w:r>
              <w:rPr>
                <w:rFonts w:hint="eastAsia" w:ascii="Times New Roman" w:hAnsi="Times New Roman" w:eastAsia="方正黑体_GBK" w:cs="方正黑体_GBK"/>
                <w:b w:val="0"/>
                <w:bCs/>
                <w:sz w:val="24"/>
                <w:szCs w:val="24"/>
              </w:rPr>
              <w:t>分值</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黑体_GBK" w:cs="方正黑体_GBK"/>
                <w:b w:val="0"/>
                <w:bCs/>
                <w:sz w:val="24"/>
                <w:szCs w:val="24"/>
              </w:rPr>
            </w:pPr>
            <w:r>
              <w:rPr>
                <w:rFonts w:hint="eastAsia" w:ascii="Times New Roman" w:hAnsi="Times New Roman" w:eastAsia="方正黑体_GBK" w:cs="方正黑体_GBK"/>
                <w:b w:val="0"/>
                <w:bCs/>
                <w:sz w:val="24"/>
                <w:szCs w:val="24"/>
              </w:rPr>
              <w:t>得分</w:t>
            </w:r>
          </w:p>
        </w:tc>
        <w:tc>
          <w:tcPr>
            <w:tcW w:w="708"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黑体_GBK" w:cs="方正黑体_GBK"/>
                <w:b w:val="0"/>
                <w:bCs/>
                <w:sz w:val="24"/>
                <w:szCs w:val="24"/>
              </w:rPr>
            </w:pPr>
            <w:r>
              <w:rPr>
                <w:rFonts w:hint="eastAsia" w:ascii="Times New Roman" w:hAnsi="Times New Roman" w:eastAsia="方正黑体_GBK" w:cs="方正黑体_GBK"/>
                <w:b w:val="0"/>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915" w:hRule="atLeast"/>
          <w:jc w:val="center"/>
        </w:trPr>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240" w:firstLineChars="100"/>
              <w:jc w:val="both"/>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1</w:t>
            </w:r>
          </w:p>
        </w:tc>
        <w:tc>
          <w:tcPr>
            <w:tcW w:w="1200"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策划方案</w:t>
            </w: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制定详细的工作实施方案、人员分工列表和项目推进表。按照方案节点实施和及时报送材料。提供活动实施方案，并经采购人代表同意后方可按方案执行。用人单位招聘海报信息、排位图、会务资料等提前供采购人审核。</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若低于此项要求扣5分。</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5分</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5" w:hRule="atLeast"/>
          <w:jc w:val="center"/>
        </w:trPr>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240" w:firstLineChars="100"/>
              <w:jc w:val="both"/>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2</w:t>
            </w:r>
          </w:p>
        </w:tc>
        <w:tc>
          <w:tcPr>
            <w:tcW w:w="1200"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应急预案</w:t>
            </w: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应急预案完备，现场突发情况处置得当。</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若低于此项要求扣5分。</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方正仿宋_GBK" w:cs="方正仿宋_GBK"/>
                <w:sz w:val="24"/>
                <w:szCs w:val="24"/>
              </w:rPr>
            </w:pPr>
            <w:r>
              <w:rPr>
                <w:rFonts w:hint="default" w:ascii="Times New Roman" w:hAnsi="Times New Roman" w:eastAsia="方正仿宋_GBK" w:cs="方正仿宋_GBK"/>
                <w:sz w:val="24"/>
                <w:szCs w:val="24"/>
              </w:rPr>
              <w:t>5</w:t>
            </w:r>
            <w:r>
              <w:rPr>
                <w:rFonts w:hint="eastAsia" w:ascii="Times New Roman" w:hAnsi="Times New Roman" w:eastAsia="方正仿宋_GBK" w:cs="方正仿宋_GBK"/>
                <w:sz w:val="24"/>
                <w:szCs w:val="24"/>
              </w:rPr>
              <w:t>分</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40" w:hRule="atLeast"/>
          <w:jc w:val="center"/>
        </w:trPr>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240" w:firstLineChars="100"/>
              <w:jc w:val="both"/>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3</w:t>
            </w:r>
          </w:p>
        </w:tc>
        <w:tc>
          <w:tcPr>
            <w:tcW w:w="1200"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场地布置</w:t>
            </w: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场所能按期提供使用，</w:t>
            </w:r>
            <w:r>
              <w:rPr>
                <w:rFonts w:hint="eastAsia" w:ascii="Times New Roman" w:hAnsi="Times New Roman" w:eastAsia="方正仿宋_GBK" w:cs="方正仿宋_GBK"/>
                <w:sz w:val="24"/>
                <w:szCs w:val="24"/>
                <w:lang w:val="en-US" w:eastAsia="zh-CN"/>
              </w:rPr>
              <w:t>合理划分场地功能区域，</w:t>
            </w:r>
            <w:r>
              <w:rPr>
                <w:rFonts w:hint="eastAsia" w:ascii="Times New Roman" w:hAnsi="Times New Roman" w:eastAsia="方正仿宋_GBK" w:cs="方正仿宋_GBK"/>
                <w:sz w:val="24"/>
                <w:szCs w:val="24"/>
              </w:rPr>
              <w:t>制定现场布展效果图，按照现场布展效果图范本布场。</w:t>
            </w:r>
            <w:r>
              <w:rPr>
                <w:rFonts w:hint="eastAsia" w:ascii="Times New Roman" w:hAnsi="Times New Roman" w:eastAsia="方正仿宋_GBK" w:cs="方正仿宋_GBK"/>
                <w:sz w:val="24"/>
                <w:szCs w:val="24"/>
                <w:lang w:val="en-US" w:eastAsia="zh-CN"/>
              </w:rPr>
              <w:t>招聘活动</w:t>
            </w:r>
            <w:r>
              <w:rPr>
                <w:rFonts w:hint="eastAsia" w:ascii="Times New Roman" w:hAnsi="Times New Roman" w:eastAsia="方正仿宋_GBK" w:cs="方正仿宋_GBK"/>
                <w:sz w:val="24"/>
                <w:szCs w:val="24"/>
              </w:rPr>
              <w:t>会场布置应提前12个小时通知采购人代表现场验收。</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lang w:eastAsia="zh-CN"/>
              </w:rPr>
              <w:t>若</w:t>
            </w:r>
            <w:r>
              <w:rPr>
                <w:rFonts w:hint="eastAsia" w:ascii="Times New Roman" w:hAnsi="Times New Roman" w:eastAsia="方正仿宋_GBK" w:cs="方正仿宋_GBK"/>
                <w:sz w:val="24"/>
                <w:szCs w:val="24"/>
              </w:rPr>
              <w:t>招聘会举办前5个小时未能验收通过的扣</w:t>
            </w:r>
            <w:r>
              <w:rPr>
                <w:rFonts w:hint="eastAsia" w:ascii="Times New Roman" w:hAnsi="Times New Roman" w:eastAsia="方正仿宋_GBK" w:cs="方正仿宋_GBK"/>
                <w:sz w:val="24"/>
                <w:szCs w:val="24"/>
                <w:lang w:val="en-US" w:eastAsia="zh-CN"/>
              </w:rPr>
              <w:t>5</w:t>
            </w:r>
            <w:r>
              <w:rPr>
                <w:rFonts w:hint="eastAsia" w:ascii="Times New Roman" w:hAnsi="Times New Roman" w:eastAsia="方正仿宋_GBK" w:cs="方正仿宋_GBK"/>
                <w:sz w:val="24"/>
                <w:szCs w:val="24"/>
              </w:rPr>
              <w:t>分。</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lang w:eastAsia="zh-CN"/>
              </w:rPr>
              <w:t>10</w:t>
            </w:r>
            <w:r>
              <w:rPr>
                <w:rFonts w:hint="eastAsia" w:ascii="Times New Roman" w:hAnsi="Times New Roman" w:eastAsia="方正仿宋_GBK" w:cs="方正仿宋_GBK"/>
                <w:sz w:val="24"/>
                <w:szCs w:val="24"/>
              </w:rPr>
              <w:t>分</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jc w:val="center"/>
        </w:trPr>
        <w:tc>
          <w:tcPr>
            <w:tcW w:w="733" w:type="dxa"/>
            <w:vMerge w:val="restart"/>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240" w:firstLineChars="100"/>
              <w:jc w:val="both"/>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4</w:t>
            </w:r>
          </w:p>
        </w:tc>
        <w:tc>
          <w:tcPr>
            <w:tcW w:w="1200" w:type="dxa"/>
            <w:vMerge w:val="restart"/>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rPr>
            </w:pPr>
            <w:r>
              <w:rPr>
                <w:rFonts w:hint="default" w:ascii="Times New Roman" w:hAnsi="Times New Roman" w:eastAsia="方正仿宋_GBK" w:cs="方正仿宋_GBK"/>
                <w:sz w:val="24"/>
                <w:szCs w:val="24"/>
              </w:rPr>
              <w:t>组织实施</w:t>
            </w: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i w:val="0"/>
                <w:iCs w:val="0"/>
                <w:color w:val="000000"/>
                <w:kern w:val="0"/>
                <w:sz w:val="24"/>
                <w:szCs w:val="24"/>
                <w:u w:val="none"/>
                <w:lang w:eastAsia="zh-CN" w:bidi="ar"/>
              </w:rPr>
              <w:t>开展</w:t>
            </w:r>
            <w:r>
              <w:rPr>
                <w:rFonts w:hint="eastAsia" w:ascii="Times New Roman" w:hAnsi="Times New Roman" w:eastAsia="方正仿宋_GBK" w:cs="方正仿宋_GBK"/>
                <w:i w:val="0"/>
                <w:iCs w:val="0"/>
                <w:color w:val="000000"/>
                <w:kern w:val="0"/>
                <w:sz w:val="24"/>
                <w:szCs w:val="24"/>
                <w:u w:val="none"/>
                <w:lang w:val="en-US" w:eastAsia="zh-CN" w:bidi="ar"/>
              </w:rPr>
              <w:t>市内</w:t>
            </w:r>
            <w:r>
              <w:rPr>
                <w:rFonts w:hint="default" w:ascii="Times New Roman" w:hAnsi="Times New Roman" w:eastAsia="方正仿宋_GBK" w:cs="方正仿宋_GBK"/>
                <w:i w:val="0"/>
                <w:iCs w:val="0"/>
                <w:kern w:val="0"/>
                <w:sz w:val="24"/>
                <w:szCs w:val="24"/>
                <w:u w:val="none"/>
                <w:lang w:eastAsia="zh-CN" w:bidi="ar"/>
              </w:rPr>
              <w:t>现场</w:t>
            </w:r>
            <w:r>
              <w:rPr>
                <w:rFonts w:hint="eastAsia" w:ascii="Times New Roman" w:hAnsi="Times New Roman" w:eastAsia="方正仿宋_GBK" w:cs="方正仿宋_GBK"/>
                <w:i w:val="0"/>
                <w:iCs w:val="0"/>
                <w:color w:val="000000"/>
                <w:kern w:val="0"/>
                <w:sz w:val="24"/>
                <w:szCs w:val="24"/>
                <w:u w:val="none"/>
                <w:lang w:val="en-US" w:eastAsia="zh-CN" w:bidi="ar"/>
              </w:rPr>
              <w:t>招聘会20场</w:t>
            </w:r>
            <w:r>
              <w:rPr>
                <w:rFonts w:hint="default" w:ascii="Times New Roman" w:hAnsi="Times New Roman" w:eastAsia="方正仿宋_GBK" w:cs="方正仿宋_GBK"/>
                <w:i w:val="0"/>
                <w:iCs w:val="0"/>
                <w:kern w:val="0"/>
                <w:sz w:val="24"/>
                <w:szCs w:val="24"/>
                <w:u w:val="none"/>
                <w:lang w:eastAsia="zh-CN" w:bidi="ar"/>
              </w:rPr>
              <w:t>，按采购方计划推进</w:t>
            </w:r>
            <w:r>
              <w:rPr>
                <w:rFonts w:hint="eastAsia" w:ascii="Times New Roman" w:hAnsi="Times New Roman" w:eastAsia="方正仿宋_GBK" w:cs="方正仿宋_GBK"/>
                <w:i w:val="0"/>
                <w:iCs w:val="0"/>
                <w:color w:val="000000"/>
                <w:kern w:val="0"/>
                <w:sz w:val="24"/>
                <w:szCs w:val="24"/>
                <w:u w:val="none"/>
                <w:lang w:val="en-US" w:eastAsia="zh-CN" w:bidi="ar"/>
              </w:rPr>
              <w:t>。</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lang w:eastAsia="zh-CN"/>
              </w:rPr>
            </w:pPr>
            <w:r>
              <w:rPr>
                <w:rFonts w:hint="default" w:ascii="Times New Roman" w:hAnsi="Times New Roman" w:eastAsia="方正仿宋_GBK" w:cs="方正仿宋_GBK"/>
                <w:sz w:val="24"/>
                <w:szCs w:val="24"/>
              </w:rPr>
              <w:t>由于供应商原因，</w:t>
            </w:r>
            <w:r>
              <w:rPr>
                <w:rFonts w:hint="eastAsia" w:ascii="Times New Roman" w:hAnsi="Times New Roman" w:eastAsia="方正仿宋_GBK" w:cs="方正仿宋_GBK"/>
                <w:color w:val="auto"/>
                <w:sz w:val="24"/>
                <w:szCs w:val="24"/>
                <w:lang w:val="en-US" w:eastAsia="zh-CN" w:bidi="ar"/>
              </w:rPr>
              <w:t>没有完成招聘场次</w:t>
            </w:r>
            <w:r>
              <w:rPr>
                <w:rFonts w:hint="eastAsia" w:ascii="Times New Roman" w:hAnsi="Times New Roman" w:eastAsia="方正仿宋_GBK" w:cs="方正仿宋_GBK"/>
                <w:color w:val="auto"/>
                <w:sz w:val="24"/>
                <w:szCs w:val="24"/>
                <w:lang w:eastAsia="zh-CN" w:bidi="ar"/>
              </w:rPr>
              <w:t>的</w:t>
            </w:r>
            <w:r>
              <w:rPr>
                <w:rFonts w:hint="eastAsia" w:ascii="Times New Roman" w:hAnsi="Times New Roman" w:eastAsia="方正仿宋_GBK" w:cs="方正仿宋_GBK"/>
                <w:color w:val="auto"/>
                <w:sz w:val="24"/>
                <w:szCs w:val="24"/>
                <w:lang w:val="en-US" w:eastAsia="zh-CN" w:bidi="ar"/>
              </w:rPr>
              <w:t>，</w:t>
            </w:r>
            <w:r>
              <w:rPr>
                <w:rFonts w:hint="eastAsia" w:ascii="Times New Roman" w:hAnsi="Times New Roman" w:eastAsia="方正仿宋_GBK" w:cs="方正仿宋_GBK"/>
                <w:color w:val="auto"/>
                <w:sz w:val="24"/>
                <w:szCs w:val="24"/>
                <w:lang w:eastAsia="zh-CN" w:bidi="ar"/>
              </w:rPr>
              <w:t>每缺少1场扣10分</w:t>
            </w:r>
            <w:r>
              <w:rPr>
                <w:rFonts w:hint="eastAsia" w:ascii="Times New Roman" w:hAnsi="Times New Roman" w:eastAsia="方正仿宋_GBK" w:cs="方正仿宋_GBK"/>
                <w:sz w:val="24"/>
                <w:szCs w:val="24"/>
                <w:lang w:val="en-US" w:eastAsia="zh-CN"/>
              </w:rPr>
              <w:t>。</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方正仿宋_GBK" w:cs="方正仿宋_GBK"/>
                <w:sz w:val="24"/>
                <w:szCs w:val="24"/>
                <w:lang w:eastAsia="zh-CN"/>
              </w:rPr>
            </w:pPr>
            <w:r>
              <w:rPr>
                <w:rFonts w:hint="default" w:ascii="Times New Roman" w:hAnsi="Times New Roman" w:eastAsia="方正仿宋_GBK" w:cs="方正仿宋_GBK"/>
                <w:sz w:val="24"/>
                <w:szCs w:val="24"/>
              </w:rPr>
              <w:t>2</w:t>
            </w:r>
            <w:r>
              <w:rPr>
                <w:rFonts w:hint="eastAsia" w:ascii="Times New Roman" w:hAnsi="Times New Roman" w:eastAsia="方正仿宋_GBK" w:cs="方正仿宋_GBK"/>
                <w:sz w:val="24"/>
                <w:szCs w:val="24"/>
              </w:rPr>
              <w:t>0分</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jc w:val="center"/>
        </w:trPr>
        <w:tc>
          <w:tcPr>
            <w:tcW w:w="733" w:type="dxa"/>
            <w:vMerge w:val="continue"/>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240" w:firstLineChars="100"/>
              <w:jc w:val="both"/>
              <w:textAlignment w:val="auto"/>
              <w:rPr>
                <w:rFonts w:hint="eastAsia" w:ascii="Times New Roman" w:hAnsi="Times New Roman" w:eastAsia="方正仿宋_GBK" w:cs="方正仿宋_GBK"/>
                <w:sz w:val="24"/>
                <w:szCs w:val="24"/>
              </w:rPr>
            </w:pPr>
          </w:p>
        </w:tc>
        <w:tc>
          <w:tcPr>
            <w:tcW w:w="1200" w:type="dxa"/>
            <w:vMerge w:val="continue"/>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方正仿宋_GBK" w:cs="方正仿宋_GBK"/>
                <w:sz w:val="24"/>
                <w:szCs w:val="24"/>
              </w:rPr>
            </w:pP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i w:val="0"/>
                <w:iCs w:val="0"/>
                <w:color w:val="auto"/>
                <w:kern w:val="0"/>
                <w:sz w:val="24"/>
                <w:szCs w:val="24"/>
                <w:u w:val="none"/>
                <w:lang w:val="en-US" w:eastAsia="zh-CN" w:bidi="ar"/>
              </w:rPr>
            </w:pPr>
            <w:r>
              <w:rPr>
                <w:rFonts w:hint="eastAsia" w:ascii="Times New Roman" w:hAnsi="Times New Roman" w:eastAsia="方正仿宋_GBK" w:cs="方正仿宋_GBK"/>
                <w:i w:val="0"/>
                <w:iCs w:val="0"/>
                <w:color w:val="auto"/>
                <w:kern w:val="0"/>
                <w:sz w:val="24"/>
                <w:szCs w:val="24"/>
                <w:u w:val="none"/>
                <w:lang w:eastAsia="zh-CN" w:bidi="ar"/>
              </w:rPr>
              <w:t>组织</w:t>
            </w:r>
            <w:r>
              <w:rPr>
                <w:rFonts w:hint="eastAsia" w:ascii="Times New Roman" w:hAnsi="Times New Roman" w:eastAsia="方正仿宋_GBK" w:cs="方正仿宋_GBK"/>
                <w:i w:val="0"/>
                <w:iCs w:val="0"/>
                <w:color w:val="auto"/>
                <w:kern w:val="0"/>
                <w:sz w:val="24"/>
                <w:szCs w:val="24"/>
                <w:u w:val="none"/>
                <w:lang w:val="en-US" w:eastAsia="zh-CN" w:bidi="ar"/>
              </w:rPr>
              <w:t>赴外招聘活动20场</w:t>
            </w:r>
            <w:r>
              <w:rPr>
                <w:rFonts w:hint="default" w:ascii="Times New Roman" w:hAnsi="Times New Roman" w:eastAsia="方正仿宋_GBK" w:cs="方正仿宋_GBK"/>
                <w:i w:val="0"/>
                <w:iCs w:val="0"/>
                <w:kern w:val="0"/>
                <w:sz w:val="24"/>
                <w:szCs w:val="24"/>
                <w:u w:val="none"/>
                <w:lang w:eastAsia="zh-CN" w:bidi="ar"/>
              </w:rPr>
              <w:t>，按采购方计划推进</w:t>
            </w:r>
            <w:r>
              <w:rPr>
                <w:rFonts w:hint="eastAsia" w:ascii="Times New Roman" w:hAnsi="Times New Roman" w:eastAsia="方正仿宋_GBK" w:cs="方正仿宋_GBK"/>
                <w:i w:val="0"/>
                <w:iCs w:val="0"/>
                <w:kern w:val="0"/>
                <w:sz w:val="24"/>
                <w:szCs w:val="24"/>
                <w:u w:val="none"/>
                <w:lang w:val="en-US" w:eastAsia="zh-CN" w:bidi="ar"/>
              </w:rPr>
              <w:t>。</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lang w:eastAsia="zh-CN"/>
              </w:rPr>
            </w:pPr>
            <w:r>
              <w:rPr>
                <w:rFonts w:hint="default" w:ascii="Times New Roman" w:hAnsi="Times New Roman" w:eastAsia="方正仿宋_GBK" w:cs="方正仿宋_GBK"/>
                <w:sz w:val="24"/>
                <w:szCs w:val="24"/>
              </w:rPr>
              <w:t>由于供应商原因，</w:t>
            </w:r>
            <w:r>
              <w:rPr>
                <w:rFonts w:hint="eastAsia" w:ascii="Times New Roman" w:hAnsi="Times New Roman" w:eastAsia="方正仿宋_GBK" w:cs="方正仿宋_GBK"/>
                <w:color w:val="000000"/>
                <w:sz w:val="24"/>
                <w:szCs w:val="24"/>
                <w:lang w:val="en-US" w:eastAsia="zh-CN" w:bidi="ar"/>
              </w:rPr>
              <w:t>没有完成招聘场次</w:t>
            </w:r>
            <w:r>
              <w:rPr>
                <w:rFonts w:hint="eastAsia" w:ascii="Times New Roman" w:hAnsi="Times New Roman" w:eastAsia="方正仿宋_GBK" w:cs="方正仿宋_GBK"/>
                <w:color w:val="000000"/>
                <w:sz w:val="24"/>
                <w:szCs w:val="24"/>
                <w:lang w:eastAsia="zh-CN" w:bidi="ar"/>
              </w:rPr>
              <w:t>的</w:t>
            </w:r>
            <w:r>
              <w:rPr>
                <w:rFonts w:hint="eastAsia" w:ascii="Times New Roman" w:hAnsi="Times New Roman" w:eastAsia="方正仿宋_GBK" w:cs="方正仿宋_GBK"/>
                <w:color w:val="000000"/>
                <w:sz w:val="24"/>
                <w:szCs w:val="24"/>
                <w:lang w:val="en-US" w:eastAsia="zh-CN" w:bidi="ar"/>
              </w:rPr>
              <w:t>，</w:t>
            </w:r>
            <w:r>
              <w:rPr>
                <w:rFonts w:hint="eastAsia" w:ascii="Times New Roman" w:hAnsi="Times New Roman" w:eastAsia="方正仿宋_GBK" w:cs="方正仿宋_GBK"/>
                <w:color w:val="000000"/>
                <w:sz w:val="24"/>
                <w:szCs w:val="24"/>
                <w:lang w:eastAsia="zh-CN" w:bidi="ar"/>
              </w:rPr>
              <w:t>每缺少1场扣10分</w:t>
            </w:r>
            <w:r>
              <w:rPr>
                <w:rFonts w:hint="eastAsia" w:ascii="Times New Roman" w:hAnsi="Times New Roman" w:eastAsia="方正仿宋_GBK" w:cs="方正仿宋_GBK"/>
                <w:sz w:val="24"/>
                <w:szCs w:val="24"/>
                <w:lang w:val="en-US" w:eastAsia="zh-CN"/>
              </w:rPr>
              <w:t>。</w:t>
            </w:r>
          </w:p>
        </w:tc>
        <w:tc>
          <w:tcPr>
            <w:tcW w:w="939"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方正仿宋_GBK" w:cs="方正仿宋_GBK"/>
                <w:sz w:val="24"/>
                <w:szCs w:val="24"/>
              </w:rPr>
            </w:pPr>
            <w:r>
              <w:rPr>
                <w:rFonts w:hint="eastAsia" w:ascii="Times New Roman" w:hAnsi="Times New Roman" w:eastAsia="方正仿宋_GBK" w:cs="方正仿宋_GBK"/>
                <w:sz w:val="24"/>
                <w:szCs w:val="24"/>
                <w:lang w:val="en-US" w:eastAsia="zh-CN"/>
              </w:rPr>
              <w:t>2</w:t>
            </w:r>
            <w:r>
              <w:rPr>
                <w:rFonts w:hint="eastAsia" w:ascii="Times New Roman" w:hAnsi="Times New Roman" w:eastAsia="方正仿宋_GBK" w:cs="方正仿宋_GBK"/>
                <w:sz w:val="24"/>
                <w:szCs w:val="24"/>
                <w:lang w:eastAsia="zh-CN"/>
              </w:rPr>
              <w:t>0</w:t>
            </w:r>
            <w:r>
              <w:rPr>
                <w:rFonts w:hint="eastAsia" w:ascii="Times New Roman" w:hAnsi="Times New Roman" w:eastAsia="方正仿宋_GBK" w:cs="方正仿宋_GBK"/>
                <w:sz w:val="24"/>
                <w:szCs w:val="24"/>
                <w:lang w:val="en-US" w:eastAsia="zh-CN"/>
              </w:rPr>
              <w:t>分</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35" w:hRule="atLeast"/>
          <w:jc w:val="center"/>
        </w:trPr>
        <w:tc>
          <w:tcPr>
            <w:tcW w:w="733" w:type="dxa"/>
            <w:vMerge w:val="continue"/>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1200" w:type="dxa"/>
            <w:vMerge w:val="continue"/>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i w:val="0"/>
                <w:iCs w:val="0"/>
                <w:color w:val="auto"/>
                <w:kern w:val="0"/>
                <w:sz w:val="24"/>
                <w:szCs w:val="24"/>
                <w:u w:val="none"/>
                <w:lang w:val="en-US" w:eastAsia="zh-CN" w:bidi="ar"/>
              </w:rPr>
            </w:pPr>
            <w:r>
              <w:rPr>
                <w:rFonts w:hint="default" w:ascii="Times New Roman" w:hAnsi="Times New Roman" w:eastAsia="方正仿宋_GBK" w:cs="方正仿宋_GBK"/>
                <w:i w:val="0"/>
                <w:iCs w:val="0"/>
                <w:color w:val="auto"/>
                <w:kern w:val="0"/>
                <w:sz w:val="24"/>
                <w:szCs w:val="24"/>
                <w:u w:val="none"/>
                <w:lang w:eastAsia="zh-CN" w:bidi="ar"/>
              </w:rPr>
              <w:t>安排参聘单位不少于2300家</w:t>
            </w:r>
            <w:r>
              <w:rPr>
                <w:rFonts w:hint="eastAsia" w:ascii="Times New Roman" w:hAnsi="Times New Roman" w:eastAsia="方正仿宋_GBK" w:cs="方正仿宋_GBK"/>
                <w:i w:val="0"/>
                <w:iCs w:val="0"/>
                <w:kern w:val="0"/>
                <w:sz w:val="24"/>
                <w:szCs w:val="24"/>
                <w:u w:val="none"/>
                <w:lang w:val="en-US" w:eastAsia="zh-CN" w:bidi="ar"/>
              </w:rPr>
              <w:t>。</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lang w:eastAsia="zh-CN"/>
              </w:rPr>
            </w:pPr>
            <w:r>
              <w:rPr>
                <w:rFonts w:hint="default" w:ascii="Times New Roman" w:hAnsi="Times New Roman" w:eastAsia="方正仿宋_GBK" w:cs="方正仿宋_GBK"/>
                <w:sz w:val="24"/>
                <w:szCs w:val="24"/>
              </w:rPr>
              <w:t>由于供应商原因，</w:t>
            </w:r>
            <w:r>
              <w:rPr>
                <w:rFonts w:hint="eastAsia" w:ascii="Times New Roman" w:hAnsi="Times New Roman" w:eastAsia="方正仿宋_GBK" w:cs="方正仿宋_GBK"/>
                <w:color w:val="000000"/>
                <w:sz w:val="24"/>
                <w:szCs w:val="24"/>
                <w:lang w:val="en-US" w:eastAsia="zh-CN" w:bidi="ar"/>
              </w:rPr>
              <w:t>没有完成</w:t>
            </w:r>
            <w:r>
              <w:rPr>
                <w:rFonts w:hint="default" w:ascii="Times New Roman" w:hAnsi="Times New Roman" w:eastAsia="方正仿宋_GBK" w:cs="方正仿宋_GBK"/>
                <w:color w:val="000000"/>
                <w:sz w:val="24"/>
                <w:szCs w:val="24"/>
                <w:lang w:eastAsia="zh-CN" w:bidi="ar"/>
              </w:rPr>
              <w:t>参聘单位数量</w:t>
            </w:r>
            <w:r>
              <w:rPr>
                <w:rFonts w:hint="eastAsia" w:ascii="Times New Roman" w:hAnsi="Times New Roman" w:eastAsia="方正仿宋_GBK" w:cs="方正仿宋_GBK"/>
                <w:color w:val="000000"/>
                <w:sz w:val="24"/>
                <w:szCs w:val="24"/>
                <w:lang w:eastAsia="zh-CN" w:bidi="ar"/>
              </w:rPr>
              <w:t>的</w:t>
            </w:r>
            <w:r>
              <w:rPr>
                <w:rFonts w:hint="eastAsia" w:ascii="Times New Roman" w:hAnsi="Times New Roman" w:eastAsia="方正仿宋_GBK" w:cs="方正仿宋_GBK"/>
                <w:color w:val="000000"/>
                <w:sz w:val="24"/>
                <w:szCs w:val="24"/>
                <w:lang w:val="en-US" w:eastAsia="zh-CN" w:bidi="ar"/>
              </w:rPr>
              <w:t>，</w:t>
            </w:r>
            <w:r>
              <w:rPr>
                <w:rFonts w:hint="eastAsia" w:ascii="Times New Roman" w:hAnsi="Times New Roman" w:eastAsia="方正仿宋_GBK" w:cs="方正仿宋_GBK"/>
                <w:color w:val="000000"/>
                <w:sz w:val="24"/>
                <w:szCs w:val="24"/>
                <w:lang w:eastAsia="zh-CN" w:bidi="ar"/>
              </w:rPr>
              <w:t>每少</w:t>
            </w:r>
            <w:r>
              <w:rPr>
                <w:rFonts w:hint="default" w:ascii="Times New Roman" w:hAnsi="Times New Roman" w:eastAsia="方正仿宋_GBK" w:cs="方正仿宋_GBK"/>
                <w:color w:val="000000"/>
                <w:sz w:val="24"/>
                <w:szCs w:val="24"/>
                <w:lang w:eastAsia="zh-CN" w:bidi="ar"/>
              </w:rPr>
              <w:t>安排1家</w:t>
            </w:r>
            <w:r>
              <w:rPr>
                <w:rFonts w:hint="eastAsia" w:ascii="Times New Roman" w:hAnsi="Times New Roman" w:eastAsia="方正仿宋_GBK" w:cs="方正仿宋_GBK"/>
                <w:color w:val="000000"/>
                <w:sz w:val="24"/>
                <w:szCs w:val="24"/>
                <w:lang w:eastAsia="zh-CN" w:bidi="ar"/>
              </w:rPr>
              <w:t>扣</w:t>
            </w:r>
            <w:r>
              <w:rPr>
                <w:rFonts w:hint="default" w:ascii="Times New Roman" w:hAnsi="Times New Roman" w:eastAsia="方正仿宋_GBK" w:cs="方正仿宋_GBK"/>
                <w:color w:val="000000"/>
                <w:sz w:val="24"/>
                <w:szCs w:val="24"/>
                <w:lang w:eastAsia="zh-CN" w:bidi="ar"/>
              </w:rPr>
              <w:t>0.</w:t>
            </w:r>
            <w:r>
              <w:rPr>
                <w:rFonts w:hint="eastAsia" w:ascii="Times New Roman" w:hAnsi="Times New Roman" w:eastAsia="方正仿宋_GBK" w:cs="方正仿宋_GBK"/>
                <w:color w:val="000000"/>
                <w:sz w:val="24"/>
                <w:szCs w:val="24"/>
                <w:lang w:eastAsia="zh-CN" w:bidi="ar"/>
              </w:rPr>
              <w:t>1分</w:t>
            </w:r>
            <w:r>
              <w:rPr>
                <w:rFonts w:hint="default" w:ascii="Times New Roman" w:hAnsi="Times New Roman" w:eastAsia="方正仿宋_GBK" w:cs="方正仿宋_GBK"/>
                <w:color w:val="000000"/>
                <w:sz w:val="24"/>
                <w:szCs w:val="24"/>
                <w:lang w:eastAsia="zh-CN" w:bidi="ar"/>
              </w:rPr>
              <w:t>，</w:t>
            </w:r>
            <w:r>
              <w:rPr>
                <w:rFonts w:hint="eastAsia" w:ascii="Times New Roman" w:hAnsi="Times New Roman" w:eastAsia="方正仿宋_GBK" w:cs="方正仿宋_GBK"/>
                <w:sz w:val="24"/>
                <w:szCs w:val="24"/>
              </w:rPr>
              <w:t>扣完</w:t>
            </w:r>
            <w:r>
              <w:rPr>
                <w:rFonts w:hint="eastAsia" w:ascii="Times New Roman" w:hAnsi="Times New Roman" w:eastAsia="方正仿宋_GBK" w:cs="方正仿宋_GBK"/>
                <w:sz w:val="24"/>
                <w:szCs w:val="24"/>
                <w:lang w:eastAsia="zh-CN"/>
              </w:rPr>
              <w:t>（10</w:t>
            </w:r>
            <w:r>
              <w:rPr>
                <w:rFonts w:hint="eastAsia" w:ascii="Times New Roman" w:hAnsi="Times New Roman" w:eastAsia="方正仿宋_GBK" w:cs="方正仿宋_GBK"/>
                <w:sz w:val="24"/>
                <w:szCs w:val="24"/>
                <w:lang w:val="en-US" w:eastAsia="zh-CN"/>
              </w:rPr>
              <w:t>分）</w:t>
            </w:r>
            <w:r>
              <w:rPr>
                <w:rFonts w:hint="eastAsia" w:ascii="Times New Roman" w:hAnsi="Times New Roman" w:eastAsia="方正仿宋_GBK" w:cs="方正仿宋_GBK"/>
                <w:sz w:val="24"/>
                <w:szCs w:val="24"/>
              </w:rPr>
              <w:t>为止。</w:t>
            </w:r>
          </w:p>
        </w:tc>
        <w:tc>
          <w:tcPr>
            <w:tcW w:w="939"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方正仿宋_GBK" w:cs="方正仿宋_GBK"/>
                <w:sz w:val="24"/>
                <w:szCs w:val="24"/>
                <w:lang w:eastAsia="zh-CN"/>
              </w:rPr>
            </w:pPr>
            <w:r>
              <w:rPr>
                <w:rFonts w:hint="default" w:ascii="Times New Roman" w:hAnsi="Times New Roman" w:eastAsia="方正仿宋_GBK" w:cs="方正仿宋_GBK"/>
                <w:sz w:val="24"/>
                <w:szCs w:val="24"/>
                <w:lang w:eastAsia="zh-CN"/>
              </w:rPr>
              <w:t>1</w:t>
            </w:r>
            <w:r>
              <w:rPr>
                <w:rFonts w:hint="eastAsia" w:ascii="Times New Roman" w:hAnsi="Times New Roman" w:eastAsia="方正仿宋_GBK" w:cs="方正仿宋_GBK"/>
                <w:sz w:val="24"/>
                <w:szCs w:val="24"/>
                <w:lang w:eastAsia="zh-CN"/>
              </w:rPr>
              <w:t>0</w:t>
            </w:r>
            <w:r>
              <w:rPr>
                <w:rFonts w:hint="eastAsia" w:ascii="Times New Roman" w:hAnsi="Times New Roman" w:eastAsia="方正仿宋_GBK" w:cs="方正仿宋_GBK"/>
                <w:sz w:val="24"/>
                <w:szCs w:val="24"/>
                <w:lang w:val="en-US" w:eastAsia="zh-CN"/>
              </w:rPr>
              <w:t>分</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00" w:hRule="atLeast"/>
          <w:jc w:val="center"/>
        </w:trPr>
        <w:tc>
          <w:tcPr>
            <w:tcW w:w="733" w:type="dxa"/>
            <w:vMerge w:val="restart"/>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方正仿宋_GBK" w:cs="方正仿宋_GBK"/>
                <w:sz w:val="24"/>
                <w:szCs w:val="24"/>
              </w:rPr>
            </w:pPr>
            <w:r>
              <w:rPr>
                <w:rFonts w:hint="default" w:ascii="Times New Roman" w:hAnsi="Times New Roman" w:eastAsia="方正仿宋_GBK" w:cs="方正仿宋_GBK"/>
                <w:sz w:val="24"/>
                <w:szCs w:val="24"/>
              </w:rPr>
              <w:t xml:space="preserve">  </w:t>
            </w:r>
          </w:p>
          <w:p>
            <w:pPr>
              <w:pStyle w:val="7"/>
              <w:keepNext w:val="0"/>
              <w:keepLines w:val="0"/>
              <w:pageBreakBefore w:val="0"/>
              <w:kinsoku/>
              <w:wordWrap/>
              <w:overflowPunct/>
              <w:topLinePunct w:val="0"/>
              <w:autoSpaceDE/>
              <w:autoSpaceDN/>
              <w:bidi w:val="0"/>
              <w:adjustRightInd/>
              <w:snapToGrid/>
              <w:spacing w:line="340" w:lineRule="exact"/>
              <w:ind w:firstLine="240" w:firstLineChars="1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5</w:t>
            </w:r>
          </w:p>
        </w:tc>
        <w:tc>
          <w:tcPr>
            <w:tcW w:w="1200" w:type="dxa"/>
            <w:vMerge w:val="restart"/>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方正仿宋_GBK" w:cs="方正仿宋_GBK"/>
                <w:sz w:val="24"/>
                <w:szCs w:val="24"/>
              </w:rPr>
            </w:pPr>
          </w:p>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rPr>
            </w:pPr>
            <w:r>
              <w:rPr>
                <w:rFonts w:hint="default" w:ascii="Times New Roman" w:hAnsi="Times New Roman" w:eastAsia="方正仿宋_GBK" w:cs="方正仿宋_GBK"/>
                <w:sz w:val="24"/>
                <w:szCs w:val="24"/>
              </w:rPr>
              <w:t>招聘服务</w:t>
            </w: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default" w:ascii="Times New Roman" w:hAnsi="Times New Roman" w:eastAsia="方正仿宋_GBK" w:cs="方正仿宋_GBK"/>
                <w:sz w:val="24"/>
                <w:szCs w:val="24"/>
              </w:rPr>
              <w:t>市内招聘会：活动前通过线上招聘平台、合作渠道、线下高校、商圈等渠道开展宣传推广；第三方落实场地、展位布置；按采购人要求安排职业指导师驻场提供职业指导；做好参会企业、求职人员现场组织管理，提供摄影摄像会务服务；收集企业反馈表、汇总信息、开展活动效果评估。</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扣分标准：核心工作缺项的，每项扣 2 分；服务存在瑕疵、落实不到位的，每项扣 1 分；收到相关单位有效投诉的，每条扣 2 分，本项分值扣完为止。</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1</w:t>
            </w:r>
            <w:r>
              <w:rPr>
                <w:rFonts w:hint="eastAsia" w:ascii="Times New Roman" w:hAnsi="Times New Roman" w:eastAsia="方正仿宋_GBK" w:cs="方正仿宋_GBK"/>
                <w:sz w:val="24"/>
                <w:szCs w:val="24"/>
                <w:lang w:val="en-US" w:eastAsia="zh-CN"/>
              </w:rPr>
              <w:t>0</w:t>
            </w:r>
            <w:r>
              <w:rPr>
                <w:rFonts w:hint="eastAsia" w:ascii="Times New Roman" w:hAnsi="Times New Roman" w:eastAsia="方正仿宋_GBK" w:cs="方正仿宋_GBK"/>
                <w:sz w:val="24"/>
                <w:szCs w:val="24"/>
              </w:rPr>
              <w:t>分</w:t>
            </w:r>
          </w:p>
        </w:tc>
        <w:tc>
          <w:tcPr>
            <w:tcW w:w="733" w:type="dxa"/>
            <w:vMerge w:val="restart"/>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vMerge w:val="restart"/>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685" w:hRule="atLeast"/>
          <w:jc w:val="center"/>
        </w:trPr>
        <w:tc>
          <w:tcPr>
            <w:tcW w:w="733" w:type="dxa"/>
            <w:vMerge w:val="continue"/>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1200" w:type="dxa"/>
            <w:vMerge w:val="continue"/>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i w:val="0"/>
                <w:iCs w:val="0"/>
                <w:color w:val="auto"/>
                <w:kern w:val="0"/>
                <w:sz w:val="24"/>
                <w:szCs w:val="24"/>
                <w:u w:val="none"/>
                <w:lang w:eastAsia="zh-CN" w:bidi="ar"/>
              </w:rPr>
              <w:t>赴外招聘活动：严格按照采购人计划方案落实出行安排；活动前期联动线上招聘平台、省内外合作机构、高校开展多渠道宣传推广；安排专人跟团，落实展位、住宿预订、当地车辆接送企业参会，提供影像记录会务服务，收集企业反馈、评估活动成效。</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rPr>
              <w:t>扣分标准：出行、宣传、现场服务任一板块未落实的，扣 2 分；服务存在瑕疵、落实不到位的，每项扣 1 分；收到相关单位有效投诉的，每条扣 2 分，本项分值扣完为止。</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eastAsia="zh-CN"/>
              </w:rPr>
              <w:t>10</w:t>
            </w:r>
            <w:r>
              <w:rPr>
                <w:rFonts w:hint="eastAsia" w:ascii="Times New Roman" w:hAnsi="Times New Roman" w:eastAsia="方正仿宋_GBK" w:cs="方正仿宋_GBK"/>
                <w:sz w:val="24"/>
                <w:szCs w:val="24"/>
                <w:lang w:val="en-US" w:eastAsia="zh-CN"/>
              </w:rPr>
              <w:t>分</w:t>
            </w:r>
          </w:p>
        </w:tc>
        <w:tc>
          <w:tcPr>
            <w:tcW w:w="733" w:type="dxa"/>
            <w:vMerge w:val="continue"/>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vMerge w:val="continue"/>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85" w:hRule="atLeast"/>
          <w:jc w:val="center"/>
        </w:trPr>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rPr>
            </w:pPr>
            <w:r>
              <w:rPr>
                <w:rFonts w:hint="default" w:ascii="Times New Roman" w:hAnsi="Times New Roman" w:eastAsia="方正仿宋_GBK" w:cs="方正仿宋_GBK"/>
                <w:sz w:val="24"/>
                <w:szCs w:val="24"/>
              </w:rPr>
              <w:t xml:space="preserve">  </w:t>
            </w:r>
            <w:r>
              <w:rPr>
                <w:rFonts w:hint="eastAsia" w:ascii="Times New Roman" w:hAnsi="Times New Roman" w:eastAsia="方正仿宋_GBK" w:cs="方正仿宋_GBK"/>
                <w:sz w:val="24"/>
                <w:szCs w:val="24"/>
              </w:rPr>
              <w:t>6</w:t>
            </w:r>
          </w:p>
        </w:tc>
        <w:tc>
          <w:tcPr>
            <w:tcW w:w="1200"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总结汇报</w:t>
            </w: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每场招聘会结束后，及时将活动统计数据、信息简报、现场照片等资料整理成册归档，报送采购人备案。</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rPr>
              <w:t>扣分标准：逾期报送扣 3 分；缺少简报、数据、影像资料任一材料的，缺 1 项扣 2 分；材料错漏、整理不规范扣 1 分，本项分值扣完为止。</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方正仿宋_GBK" w:cs="方正仿宋_GBK"/>
                <w:sz w:val="24"/>
                <w:szCs w:val="24"/>
              </w:rPr>
            </w:pPr>
            <w:r>
              <w:rPr>
                <w:rFonts w:hint="default" w:ascii="Times New Roman" w:hAnsi="Times New Roman" w:eastAsia="方正仿宋_GBK" w:cs="方正仿宋_GBK"/>
                <w:sz w:val="24"/>
                <w:szCs w:val="24"/>
                <w:lang w:eastAsia="zh-CN"/>
              </w:rPr>
              <w:t>5</w:t>
            </w:r>
            <w:r>
              <w:rPr>
                <w:rFonts w:hint="eastAsia" w:ascii="Times New Roman" w:hAnsi="Times New Roman" w:eastAsia="方正仿宋_GBK" w:cs="方正仿宋_GBK"/>
                <w:sz w:val="24"/>
                <w:szCs w:val="24"/>
              </w:rPr>
              <w:t>分</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840" w:hRule="atLeast"/>
          <w:jc w:val="center"/>
        </w:trPr>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240" w:firstLineChars="100"/>
              <w:jc w:val="lef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eastAsia="zh-CN"/>
              </w:rPr>
              <w:t>7</w:t>
            </w:r>
          </w:p>
        </w:tc>
        <w:tc>
          <w:tcPr>
            <w:tcW w:w="1200"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成效跟踪</w:t>
            </w:r>
          </w:p>
        </w:tc>
        <w:tc>
          <w:tcPr>
            <w:tcW w:w="4845"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lang w:val="en-US" w:eastAsia="zh-CN"/>
              </w:rPr>
              <w:t>每场招聘活动结束后，按采购人要求统计现场招聘意向数据，持续跟踪人员到岗情况，按期出具招聘成效分析报告。</w:t>
            </w:r>
          </w:p>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rPr>
              <w:t>扣分标准：未开展到岗跟踪的扣 3 分；报告逾期提交、数据存在错漏扣 2 分；报告内容简略，达不到分析要求扣 1 分，本项分值扣完为止。</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方正仿宋_GBK" w:cs="方正仿宋_GBK"/>
                <w:sz w:val="24"/>
                <w:szCs w:val="24"/>
                <w:lang w:val="en-US" w:eastAsia="zh-CN"/>
              </w:rPr>
            </w:pPr>
            <w:r>
              <w:rPr>
                <w:rFonts w:hint="default" w:ascii="Times New Roman" w:hAnsi="Times New Roman" w:eastAsia="方正仿宋_GBK" w:cs="方正仿宋_GBK"/>
                <w:sz w:val="24"/>
                <w:szCs w:val="24"/>
                <w:lang w:eastAsia="zh-CN"/>
              </w:rPr>
              <w:t>5</w:t>
            </w:r>
            <w:r>
              <w:rPr>
                <w:rFonts w:hint="eastAsia" w:ascii="Times New Roman" w:hAnsi="Times New Roman" w:eastAsia="方正仿宋_GBK" w:cs="方正仿宋_GBK"/>
                <w:sz w:val="24"/>
                <w:szCs w:val="24"/>
                <w:lang w:val="en-US" w:eastAsia="zh-CN"/>
              </w:rPr>
              <w:t>分</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35" w:hRule="atLeast"/>
          <w:jc w:val="center"/>
        </w:trPr>
        <w:tc>
          <w:tcPr>
            <w:tcW w:w="6778" w:type="dxa"/>
            <w:gridSpan w:val="3"/>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1" w:firstLineChars="200"/>
              <w:jc w:val="center"/>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b/>
                <w:bCs/>
                <w:sz w:val="24"/>
                <w:szCs w:val="24"/>
              </w:rPr>
              <w:t>合计</w:t>
            </w:r>
          </w:p>
        </w:tc>
        <w:tc>
          <w:tcPr>
            <w:tcW w:w="939"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方正仿宋_GBK" w:cs="方正仿宋_GBK"/>
                <w:sz w:val="24"/>
                <w:szCs w:val="24"/>
              </w:rPr>
            </w:pPr>
            <w:r>
              <w:rPr>
                <w:rFonts w:hint="eastAsia" w:ascii="Times New Roman" w:hAnsi="Times New Roman" w:eastAsia="方正仿宋_GBK" w:cs="方正仿宋_GBK"/>
                <w:b w:val="0"/>
                <w:bCs w:val="0"/>
                <w:sz w:val="24"/>
                <w:szCs w:val="24"/>
              </w:rPr>
              <w:t>100分</w:t>
            </w:r>
          </w:p>
        </w:tc>
        <w:tc>
          <w:tcPr>
            <w:tcW w:w="733" w:type="dxa"/>
            <w:tcMar>
              <w:top w:w="0" w:type="dxa"/>
              <w:left w:w="105" w:type="dxa"/>
              <w:bottom w:w="0" w:type="dxa"/>
              <w:right w:w="105" w:type="dxa"/>
            </w:tcMar>
            <w:vAlign w:val="center"/>
          </w:tcPr>
          <w:p>
            <w:pPr>
              <w:pStyle w:val="7"/>
              <w:keepNext w:val="0"/>
              <w:keepLines w:val="0"/>
              <w:pageBreakBefore w:val="0"/>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c>
          <w:tcPr>
            <w:tcW w:w="708" w:type="dxa"/>
            <w:tcMar>
              <w:top w:w="0" w:type="dxa"/>
              <w:left w:w="105" w:type="dxa"/>
              <w:bottom w:w="0" w:type="dxa"/>
              <w:right w:w="105" w:type="dxa"/>
            </w:tcMar>
            <w:vAlign w:val="center"/>
          </w:tcPr>
          <w:p>
            <w:pPr>
              <w:pStyle w:val="7"/>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auto"/>
              <w:rPr>
                <w:rFonts w:hint="eastAsia" w:ascii="Times New Roman" w:hAnsi="Times New Roman" w:eastAsia="方正仿宋_GBK" w:cs="方正仿宋_GBK"/>
                <w:sz w:val="24"/>
                <w:szCs w:val="24"/>
              </w:rPr>
            </w:pPr>
          </w:p>
        </w:tc>
      </w:tr>
    </w:tbl>
    <w:p>
      <w:pPr>
        <w:pStyle w:val="7"/>
        <w:widowControl/>
        <w:spacing w:line="340" w:lineRule="exact"/>
        <w:ind w:firstLine="480" w:firstLineChars="200"/>
        <w:jc w:val="left"/>
        <w:rPr>
          <w:rFonts w:ascii="Times New Roman" w:hAnsi="Times New Roman" w:eastAsia="方正仿宋_GBK" w:cs="方正仿宋_GBK"/>
          <w:sz w:val="24"/>
          <w:szCs w:val="24"/>
        </w:rPr>
      </w:pPr>
    </w:p>
    <w:p>
      <w:pPr>
        <w:pStyle w:val="7"/>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eastAsia="方正仿宋_GBK" w:cs="方正仿宋_GBK"/>
          <w:sz w:val="24"/>
          <w:szCs w:val="24"/>
        </w:rPr>
      </w:pPr>
      <w:r>
        <w:rPr>
          <w:rFonts w:hint="default" w:ascii="Times New Roman" w:hAnsi="Times New Roman" w:eastAsia="方正仿宋_GBK" w:cs="方正仿宋_GBK"/>
          <w:sz w:val="24"/>
          <w:szCs w:val="24"/>
        </w:rPr>
        <w:t>说明</w:t>
      </w:r>
      <w:r>
        <w:rPr>
          <w:rFonts w:hint="eastAsia" w:ascii="Times New Roman" w:hAnsi="Times New Roman" w:eastAsia="方正仿宋_GBK" w:cs="方正仿宋_GBK"/>
          <w:sz w:val="24"/>
          <w:szCs w:val="24"/>
        </w:rPr>
        <w:t>：最终得分在90分（</w:t>
      </w:r>
      <w:r>
        <w:rPr>
          <w:rFonts w:hint="eastAsia" w:ascii="Times New Roman" w:hAnsi="Times New Roman" w:eastAsia="方正仿宋_GBK" w:cs="方正仿宋_GBK"/>
          <w:sz w:val="24"/>
          <w:szCs w:val="24"/>
          <w:lang w:val="en-US" w:eastAsia="zh-CN"/>
        </w:rPr>
        <w:t>含90分</w:t>
      </w:r>
      <w:r>
        <w:rPr>
          <w:rFonts w:hint="eastAsia" w:ascii="Times New Roman" w:hAnsi="Times New Roman" w:eastAsia="方正仿宋_GBK" w:cs="方正仿宋_GBK"/>
          <w:sz w:val="24"/>
          <w:szCs w:val="24"/>
        </w:rPr>
        <w:t>）以上，可按</w:t>
      </w:r>
      <w:r>
        <w:rPr>
          <w:rFonts w:hint="eastAsia" w:ascii="Times New Roman" w:hAnsi="Times New Roman" w:eastAsia="方正仿宋_GBK" w:cs="方正仿宋_GBK"/>
          <w:sz w:val="24"/>
          <w:szCs w:val="24"/>
          <w:lang w:val="en-US" w:eastAsia="zh-CN"/>
        </w:rPr>
        <w:t>尾款</w:t>
      </w:r>
      <w:r>
        <w:rPr>
          <w:rFonts w:hint="eastAsia" w:ascii="Times New Roman" w:hAnsi="Times New Roman" w:eastAsia="方正仿宋_GBK" w:cs="方正仿宋_GBK"/>
          <w:sz w:val="24"/>
          <w:szCs w:val="24"/>
        </w:rPr>
        <w:t>100%进行支付。60分（</w:t>
      </w:r>
      <w:r>
        <w:rPr>
          <w:rFonts w:hint="eastAsia" w:ascii="Times New Roman" w:hAnsi="Times New Roman" w:eastAsia="方正仿宋_GBK" w:cs="方正仿宋_GBK"/>
          <w:sz w:val="24"/>
          <w:szCs w:val="24"/>
          <w:lang w:val="en-US" w:eastAsia="zh-CN"/>
        </w:rPr>
        <w:t>含60分</w:t>
      </w:r>
      <w:r>
        <w:rPr>
          <w:rFonts w:hint="eastAsia" w:ascii="Times New Roman" w:hAnsi="Times New Roman" w:eastAsia="方正仿宋_GBK" w:cs="方正仿宋_GBK"/>
          <w:sz w:val="24"/>
          <w:szCs w:val="24"/>
        </w:rPr>
        <w:t>）-90分的（</w:t>
      </w:r>
      <w:r>
        <w:rPr>
          <w:rFonts w:hint="eastAsia" w:ascii="Times New Roman" w:hAnsi="Times New Roman" w:eastAsia="方正仿宋_GBK" w:cs="方正仿宋_GBK"/>
          <w:sz w:val="24"/>
          <w:szCs w:val="24"/>
          <w:lang w:val="en-US" w:eastAsia="zh-CN"/>
        </w:rPr>
        <w:t>不含90分</w:t>
      </w:r>
      <w:r>
        <w:rPr>
          <w:rFonts w:hint="eastAsia" w:ascii="Times New Roman" w:hAnsi="Times New Roman" w:eastAsia="方正仿宋_GBK" w:cs="方正仿宋_GBK"/>
          <w:sz w:val="24"/>
          <w:szCs w:val="24"/>
        </w:rPr>
        <w:t>），每扣除1分则相应扣除尾款1%，得分低于60分（不含）的每扣除1分则相应扣除尾款5%。同时，采购人根据</w:t>
      </w:r>
      <w:r>
        <w:rPr>
          <w:rFonts w:hint="default" w:ascii="Times New Roman" w:hAnsi="Times New Roman" w:eastAsia="方正仿宋_GBK" w:cs="方正仿宋_GBK"/>
          <w:sz w:val="24"/>
          <w:szCs w:val="24"/>
        </w:rPr>
        <w:t>考核</w:t>
      </w:r>
      <w:r>
        <w:rPr>
          <w:rFonts w:hint="eastAsia" w:ascii="Times New Roman" w:hAnsi="Times New Roman" w:eastAsia="方正仿宋_GBK" w:cs="方正仿宋_GBK"/>
          <w:sz w:val="24"/>
          <w:szCs w:val="24"/>
        </w:rPr>
        <w:t>评分结果、成交供应商运营管理情况及违约行为和现场参聘单位对招聘会反映情况和评价等方式对项目进行考核，并以此作为支付项目款项的参考依据。</w:t>
      </w: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50AF52E4"/>
    <w:rsid w:val="038B1DCF"/>
    <w:rsid w:val="18EF0A07"/>
    <w:rsid w:val="1FF4309D"/>
    <w:rsid w:val="2A4206D7"/>
    <w:rsid w:val="2B914D4D"/>
    <w:rsid w:val="2EA664F9"/>
    <w:rsid w:val="37EDF190"/>
    <w:rsid w:val="382C0324"/>
    <w:rsid w:val="38AF57A2"/>
    <w:rsid w:val="44B63F77"/>
    <w:rsid w:val="47570440"/>
    <w:rsid w:val="478F5D5E"/>
    <w:rsid w:val="50AF52E4"/>
    <w:rsid w:val="57BBCF90"/>
    <w:rsid w:val="5F7AD305"/>
    <w:rsid w:val="5FBF033A"/>
    <w:rsid w:val="61F04791"/>
    <w:rsid w:val="637C6742"/>
    <w:rsid w:val="638E39FA"/>
    <w:rsid w:val="69580960"/>
    <w:rsid w:val="6EA90C2C"/>
    <w:rsid w:val="6F5748E6"/>
    <w:rsid w:val="757D9BF9"/>
    <w:rsid w:val="7B8D8633"/>
    <w:rsid w:val="7CF075C5"/>
    <w:rsid w:val="7F7903F6"/>
    <w:rsid w:val="7FBB272E"/>
    <w:rsid w:val="7FDF2A2A"/>
    <w:rsid w:val="7FFD0ED6"/>
    <w:rsid w:val="A3DF6D8C"/>
    <w:rsid w:val="DCCF8A14"/>
    <w:rsid w:val="DD0E3196"/>
    <w:rsid w:val="DF39DDF1"/>
    <w:rsid w:val="F9FE48E8"/>
    <w:rsid w:val="FEA7AF94"/>
    <w:rsid w:val="FFA78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uppressAutoHyphens/>
      <w:ind w:firstLine="420"/>
    </w:pPr>
    <w:rPr>
      <w:rFonts w:ascii="Calibri" w:hAnsi="Calibri" w:eastAsia="宋体" w:cs="Times New Roman"/>
      <w:sz w:val="21"/>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2154</Words>
  <Characters>2225</Characters>
  <Lines>0</Lines>
  <Paragraphs>0</Paragraphs>
  <TotalTime>11</TotalTime>
  <ScaleCrop>false</ScaleCrop>
  <LinksUpToDate>false</LinksUpToDate>
  <CharactersWithSpaces>2225</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2026-08-12T19:20:00Z</dcterms:created>
  <dc:creator>meilan</dc:creator>
  <cp:lastModifiedBy>赵庆斌</cp:lastModifiedBy>
  <cp:lastPrinted>2026-08-29T15:17:00Z</cp:lastPrinted>
  <dcterms:modified xsi:type="dcterms:W3CDTF">2026-10-28T09:02:29Z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y fmtid="{D5CDD505-2E9C-101B-9397-08002B2CF9AE}" pid="3" name="ICV">
    <vt:lpwstr>1D62823DC294AC514C57916AF9F94080</vt:lpwstr>
  </property>
</Properties>
</file>