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EE837">
      <w:pPr>
        <w:adjustRightInd w:val="0"/>
        <w:snapToGrid w:val="0"/>
        <w:spacing w:line="560" w:lineRule="exact"/>
        <w:ind w:firstLine="0" w:firstLineChars="0"/>
        <w:jc w:val="left"/>
        <w:rPr>
          <w:rFonts w:hint="default" w:ascii="方正公文小标宋" w:hAnsi="方正公文小标宋" w:eastAsia="方正公文小标宋" w:cs="方正公文小标宋"/>
          <w:bCs/>
          <w:sz w:val="32"/>
          <w:szCs w:val="32"/>
          <w:lang w:eastAsia="zh-CN"/>
        </w:rPr>
      </w:pPr>
      <w:bookmarkStart w:id="0" w:name="_GoBack"/>
      <w:bookmarkEnd w:id="0"/>
      <w:r>
        <w:rPr>
          <w:rFonts w:hint="default" w:ascii="方正公文小标宋" w:hAnsi="方正公文小标宋" w:eastAsia="方正公文小标宋" w:cs="方正公文小标宋"/>
          <w:bCs/>
          <w:sz w:val="32"/>
          <w:szCs w:val="32"/>
          <w:lang w:eastAsia="zh-CN"/>
        </w:rPr>
        <w:t>附件2</w:t>
      </w:r>
    </w:p>
    <w:p w14:paraId="0875172D">
      <w:pPr>
        <w:adjustRightInd w:val="0"/>
        <w:snapToGrid w:val="0"/>
        <w:spacing w:line="560" w:lineRule="exact"/>
        <w:ind w:firstLine="0" w:firstLineChars="0"/>
        <w:jc w:val="center"/>
        <w:rPr>
          <w:rFonts w:hint="default" w:ascii="方正公文小标宋" w:hAnsi="方正公文小标宋" w:eastAsia="方正公文小标宋" w:cs="方正公文小标宋"/>
          <w:bCs/>
          <w:sz w:val="44"/>
          <w:szCs w:val="44"/>
          <w:lang w:eastAsia="zh-CN"/>
        </w:rPr>
      </w:pPr>
    </w:p>
    <w:p w14:paraId="1E75450F">
      <w:pPr>
        <w:pStyle w:val="13"/>
        <w:keepNext w:val="0"/>
        <w:keepLines w:val="0"/>
        <w:widowControl/>
        <w:suppressLineNumbers w:val="0"/>
        <w:spacing w:before="0" w:beforeAutospacing="0" w:after="0" w:afterAutospacing="0"/>
        <w:ind w:left="0" w:right="0" w:firstLine="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市本级招聘会活动项目评</w:t>
      </w:r>
      <w:r>
        <w:rPr>
          <w:rFonts w:hint="default" w:asciiTheme="majorEastAsia" w:hAnsiTheme="majorEastAsia" w:eastAsiaTheme="majorEastAsia" w:cstheme="majorEastAsia"/>
          <w:b/>
          <w:bCs/>
          <w:sz w:val="44"/>
          <w:szCs w:val="44"/>
        </w:rPr>
        <w:t>审</w:t>
      </w:r>
      <w:r>
        <w:rPr>
          <w:rFonts w:hint="eastAsia" w:asciiTheme="majorEastAsia" w:hAnsiTheme="majorEastAsia" w:eastAsiaTheme="majorEastAsia" w:cstheme="majorEastAsia"/>
          <w:b/>
          <w:bCs/>
          <w:sz w:val="44"/>
          <w:szCs w:val="44"/>
        </w:rPr>
        <w:t>标准</w:t>
      </w:r>
    </w:p>
    <w:p w14:paraId="16FE3CF1">
      <w:pPr>
        <w:spacing w:line="560" w:lineRule="exact"/>
        <w:ind w:firstLine="0" w:firstLineChars="0"/>
        <w:rPr>
          <w:rFonts w:ascii="黑体" w:hAnsi="黑体" w:eastAsia="黑体"/>
          <w:sz w:val="32"/>
          <w:szCs w:val="32"/>
        </w:rPr>
      </w:pPr>
      <w:r>
        <w:rPr>
          <w:rFonts w:hint="default" w:ascii="黑体" w:hAnsi="黑体" w:eastAsia="黑体"/>
          <w:sz w:val="32"/>
          <w:szCs w:val="32"/>
        </w:rPr>
        <w:t xml:space="preserve">    </w:t>
      </w:r>
      <w:r>
        <w:rPr>
          <w:rFonts w:hint="eastAsia" w:ascii="黑体" w:hAnsi="黑体" w:eastAsia="黑体"/>
          <w:sz w:val="32"/>
          <w:szCs w:val="32"/>
        </w:rPr>
        <w:t>一、资格性审核表</w:t>
      </w:r>
    </w:p>
    <w:tbl>
      <w:tblPr>
        <w:tblStyle w:val="15"/>
        <w:tblW w:w="8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4945"/>
        <w:gridCol w:w="3371"/>
      </w:tblGrid>
      <w:tr w14:paraId="35EE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shd w:val="clear" w:color="auto" w:fill="C6D9F0" w:themeFill="text2" w:themeFillTint="33"/>
            <w:vAlign w:val="center"/>
          </w:tcPr>
          <w:p w14:paraId="7B9FD3F5">
            <w:pPr>
              <w:spacing w:line="560" w:lineRule="exact"/>
              <w:jc w:val="center"/>
              <w:rPr>
                <w:rFonts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序号</w:t>
            </w:r>
          </w:p>
        </w:tc>
        <w:tc>
          <w:tcPr>
            <w:tcW w:w="4945" w:type="dxa"/>
            <w:shd w:val="clear" w:color="auto" w:fill="C6D9F0" w:themeFill="text2" w:themeFillTint="33"/>
            <w:vAlign w:val="center"/>
          </w:tcPr>
          <w:p w14:paraId="45C59E49">
            <w:pPr>
              <w:spacing w:line="560" w:lineRule="exact"/>
              <w:jc w:val="center"/>
              <w:rPr>
                <w:rFonts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内容</w:t>
            </w:r>
          </w:p>
        </w:tc>
        <w:tc>
          <w:tcPr>
            <w:tcW w:w="3371" w:type="dxa"/>
            <w:shd w:val="clear" w:color="auto" w:fill="C6D9F0" w:themeFill="text2" w:themeFillTint="33"/>
            <w:vAlign w:val="center"/>
          </w:tcPr>
          <w:p w14:paraId="4AA34413">
            <w:pPr>
              <w:spacing w:line="560" w:lineRule="exact"/>
              <w:jc w:val="center"/>
              <w:rPr>
                <w:rFonts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需查验资料清单</w:t>
            </w:r>
          </w:p>
        </w:tc>
      </w:tr>
      <w:tr w14:paraId="39A1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538" w:type="dxa"/>
            <w:vAlign w:val="center"/>
          </w:tcPr>
          <w:p w14:paraId="48CADC7B">
            <w:pPr>
              <w:spacing w:line="460" w:lineRule="exact"/>
              <w:jc w:val="center"/>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w:t>
            </w:r>
          </w:p>
        </w:tc>
        <w:tc>
          <w:tcPr>
            <w:tcW w:w="4945" w:type="dxa"/>
            <w:vAlign w:val="center"/>
          </w:tcPr>
          <w:p w14:paraId="2288B314">
            <w:pPr>
              <w:autoSpaceDE w:val="0"/>
              <w:autoSpaceDN w:val="0"/>
              <w:adjustRightInd w:val="0"/>
              <w:snapToGrid w:val="0"/>
              <w:spacing w:line="400" w:lineRule="exac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服务供应商具有国内独立法人或具有独立承担民事责任的能力</w:t>
            </w:r>
            <w:r>
              <w:rPr>
                <w:rFonts w:hint="eastAsia" w:ascii="方正仿宋_GBK" w:hAnsi="方正仿宋_GBK" w:eastAsia="方正仿宋_GBK" w:cs="方正仿宋_GBK"/>
                <w:sz w:val="30"/>
                <w:szCs w:val="30"/>
                <w:lang w:eastAsia="zh-CN"/>
              </w:rPr>
              <w:t>的其他</w:t>
            </w:r>
            <w:r>
              <w:rPr>
                <w:rFonts w:hint="eastAsia" w:ascii="方正仿宋_GBK" w:hAnsi="方正仿宋_GBK" w:eastAsia="方正仿宋_GBK" w:cs="方正仿宋_GBK"/>
                <w:sz w:val="30"/>
                <w:szCs w:val="30"/>
              </w:rPr>
              <w:t>组织，提交有效的营业执照或单位法人证等法人证明复印件。</w:t>
            </w:r>
          </w:p>
        </w:tc>
        <w:tc>
          <w:tcPr>
            <w:tcW w:w="3371" w:type="dxa"/>
            <w:vAlign w:val="center"/>
          </w:tcPr>
          <w:p w14:paraId="7566DCD2">
            <w:pPr>
              <w:autoSpaceDE w:val="0"/>
              <w:autoSpaceDN w:val="0"/>
              <w:adjustRightInd w:val="0"/>
              <w:snapToGrid w:val="0"/>
              <w:spacing w:line="400" w:lineRule="exac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提供营业执照或单位法人证等法人证明复印件（加盖印章）</w:t>
            </w:r>
          </w:p>
        </w:tc>
      </w:tr>
      <w:tr w14:paraId="7DC2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538" w:type="dxa"/>
            <w:vAlign w:val="center"/>
          </w:tcPr>
          <w:p w14:paraId="2B478D21">
            <w:pPr>
              <w:spacing w:line="460" w:lineRule="exact"/>
              <w:jc w:val="center"/>
              <w:rPr>
                <w:rFonts w:ascii="方正仿宋_GBK" w:hAnsi="方正仿宋_GBK" w:eastAsia="方正仿宋_GBK" w:cs="方正仿宋_GBK"/>
                <w:sz w:val="30"/>
                <w:szCs w:val="30"/>
              </w:rPr>
            </w:pPr>
            <w:r>
              <w:rPr>
                <w:rFonts w:hint="default" w:ascii="方正仿宋_GBK" w:hAnsi="方正仿宋_GBK" w:eastAsia="方正仿宋_GBK" w:cs="方正仿宋_GBK"/>
                <w:sz w:val="30"/>
                <w:szCs w:val="30"/>
              </w:rPr>
              <w:t>2</w:t>
            </w:r>
          </w:p>
        </w:tc>
        <w:tc>
          <w:tcPr>
            <w:tcW w:w="4945" w:type="dxa"/>
            <w:vAlign w:val="center"/>
          </w:tcPr>
          <w:p w14:paraId="09401BEE">
            <w:pPr>
              <w:autoSpaceDE w:val="0"/>
              <w:autoSpaceDN w:val="0"/>
              <w:adjustRightInd w:val="0"/>
              <w:snapToGrid w:val="0"/>
              <w:spacing w:line="400" w:lineRule="exac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符合《中华人民共和国政府采购法》第二十二条规定的条件。近3年未受到政府部门处罚，在经营活动中没有重大违法记录。</w:t>
            </w:r>
          </w:p>
        </w:tc>
        <w:tc>
          <w:tcPr>
            <w:tcW w:w="3371" w:type="dxa"/>
            <w:vAlign w:val="center"/>
          </w:tcPr>
          <w:p w14:paraId="79F88CD6">
            <w:pPr>
              <w:spacing w:line="400" w:lineRule="exac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由供应商在《关于供应商资格的声明函》中作出承诺</w:t>
            </w:r>
          </w:p>
        </w:tc>
      </w:tr>
      <w:tr w14:paraId="3C67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7" w:hRule="atLeast"/>
          <w:jc w:val="center"/>
        </w:trPr>
        <w:tc>
          <w:tcPr>
            <w:tcW w:w="538" w:type="dxa"/>
            <w:vAlign w:val="center"/>
          </w:tcPr>
          <w:p w14:paraId="5C3569D8">
            <w:pPr>
              <w:spacing w:line="460" w:lineRule="exact"/>
              <w:jc w:val="center"/>
              <w:rPr>
                <w:rFonts w:hint="eastAsia" w:ascii="方正仿宋_GBK" w:hAnsi="方正仿宋_GBK" w:eastAsia="方正仿宋_GBK" w:cs="方正仿宋_GBK"/>
                <w:sz w:val="30"/>
                <w:szCs w:val="30"/>
                <w:lang w:val="en-US" w:eastAsia="zh-CN"/>
              </w:rPr>
            </w:pPr>
            <w:r>
              <w:rPr>
                <w:rFonts w:hint="default" w:ascii="方正仿宋_GBK" w:hAnsi="方正仿宋_GBK" w:eastAsia="方正仿宋_GBK" w:cs="方正仿宋_GBK"/>
                <w:sz w:val="30"/>
                <w:szCs w:val="30"/>
                <w:lang w:eastAsia="zh-CN"/>
              </w:rPr>
              <w:t>3</w:t>
            </w:r>
          </w:p>
        </w:tc>
        <w:tc>
          <w:tcPr>
            <w:tcW w:w="4945" w:type="dxa"/>
            <w:vAlign w:val="center"/>
          </w:tcPr>
          <w:p w14:paraId="6A15E524">
            <w:pPr>
              <w:autoSpaceDE w:val="0"/>
              <w:autoSpaceDN w:val="0"/>
              <w:adjustRightInd w:val="0"/>
              <w:snapToGrid w:val="0"/>
              <w:spacing w:line="400" w:lineRule="exact"/>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方正仿宋_GBK" w:hAnsi="方正仿宋_GBK" w:eastAsia="方正仿宋_GBK" w:cs="方正仿宋_GBK"/>
                <w:sz w:val="30"/>
                <w:szCs w:val="30"/>
                <w:lang w:eastAsia="zh-CN"/>
              </w:rPr>
              <w:t>。</w:t>
            </w:r>
          </w:p>
        </w:tc>
        <w:tc>
          <w:tcPr>
            <w:tcW w:w="3371" w:type="dxa"/>
            <w:vAlign w:val="center"/>
          </w:tcPr>
          <w:p w14:paraId="4546EF2A">
            <w:pPr>
              <w:spacing w:line="400" w:lineRule="exact"/>
              <w:rPr>
                <w:rFonts w:hint="default"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rPr>
              <w:t>由供应商</w:t>
            </w:r>
            <w:r>
              <w:rPr>
                <w:rFonts w:hint="eastAsia" w:ascii="方正仿宋_GBK" w:hAnsi="方正仿宋_GBK" w:eastAsia="方正仿宋_GBK" w:cs="方正仿宋_GBK"/>
                <w:sz w:val="30"/>
                <w:szCs w:val="30"/>
                <w:lang w:val="en-US" w:eastAsia="zh-CN"/>
              </w:rPr>
              <w:t>提供相关证明资料</w:t>
            </w:r>
          </w:p>
        </w:tc>
      </w:tr>
      <w:tr w14:paraId="591C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538" w:type="dxa"/>
            <w:vAlign w:val="center"/>
          </w:tcPr>
          <w:p w14:paraId="0A7ECE38">
            <w:pPr>
              <w:spacing w:line="460" w:lineRule="exact"/>
              <w:jc w:val="center"/>
              <w:rPr>
                <w:rFonts w:hint="default" w:ascii="方正仿宋_GBK" w:hAnsi="方正仿宋_GBK" w:eastAsia="方正仿宋_GBK" w:cs="方正仿宋_GBK"/>
                <w:sz w:val="30"/>
                <w:szCs w:val="30"/>
                <w:lang w:eastAsia="zh-CN"/>
              </w:rPr>
            </w:pPr>
            <w:r>
              <w:rPr>
                <w:rFonts w:hint="default" w:ascii="方正仿宋_GBK" w:hAnsi="方正仿宋_GBK" w:eastAsia="方正仿宋_GBK" w:cs="方正仿宋_GBK"/>
                <w:sz w:val="30"/>
                <w:szCs w:val="30"/>
                <w:lang w:eastAsia="zh-CN"/>
              </w:rPr>
              <w:t>4</w:t>
            </w:r>
          </w:p>
        </w:tc>
        <w:tc>
          <w:tcPr>
            <w:tcW w:w="4945" w:type="dxa"/>
            <w:vAlign w:val="center"/>
          </w:tcPr>
          <w:p w14:paraId="67811F36">
            <w:pPr>
              <w:spacing w:line="40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本项目不接受联合体服务。</w:t>
            </w:r>
          </w:p>
        </w:tc>
        <w:tc>
          <w:tcPr>
            <w:tcW w:w="3371" w:type="dxa"/>
            <w:vAlign w:val="center"/>
          </w:tcPr>
          <w:p w14:paraId="2163688F">
            <w:pPr>
              <w:spacing w:line="400" w:lineRule="exact"/>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由供应商在《关于供应商资格的声明函》中作出承诺</w:t>
            </w:r>
          </w:p>
        </w:tc>
      </w:tr>
    </w:tbl>
    <w:p w14:paraId="25F8E599">
      <w:pPr>
        <w:numPr>
          <w:ilvl w:val="-1"/>
          <w:numId w:val="0"/>
        </w:numPr>
        <w:spacing w:line="560" w:lineRule="exact"/>
        <w:ind w:firstLine="0" w:firstLineChars="0"/>
        <w:rPr>
          <w:rFonts w:hint="eastAsia" w:ascii="黑体" w:hAnsi="黑体" w:eastAsia="黑体"/>
          <w:sz w:val="32"/>
          <w:szCs w:val="32"/>
          <w:lang w:val="en-US" w:eastAsia="zh-CN"/>
        </w:rPr>
      </w:pPr>
    </w:p>
    <w:p w14:paraId="38C6EE79">
      <w:pPr>
        <w:numPr>
          <w:ilvl w:val="0"/>
          <w:numId w:val="1"/>
        </w:numPr>
        <w:spacing w:line="56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评审方法</w:t>
      </w:r>
    </w:p>
    <w:p w14:paraId="7061B81F">
      <w:pPr>
        <w:numPr>
          <w:ilvl w:val="-1"/>
          <w:numId w:val="0"/>
        </w:numPr>
        <w:autoSpaceDE w:val="0"/>
        <w:autoSpaceDN w:val="0"/>
        <w:adjustRightInd w:val="0"/>
        <w:snapToGrid w:val="0"/>
        <w:spacing w:line="560" w:lineRule="exact"/>
        <w:ind w:firstLine="640" w:firstLineChars="200"/>
        <w:jc w:val="left"/>
        <w:rPr>
          <w:rFonts w:hint="default" w:ascii="Times New Roman" w:hAnsi="Times New Roman" w:eastAsia="方正仿宋_GBK"/>
          <w:sz w:val="32"/>
          <w:szCs w:val="32"/>
          <w:lang w:val="en-US" w:eastAsia="zh-CN"/>
        </w:rPr>
      </w:pPr>
      <w:r>
        <w:rPr>
          <w:rFonts w:hint="default" w:ascii="Times New Roman" w:hAnsi="Times New Roman" w:eastAsia="方正仿宋_GBK"/>
          <w:sz w:val="32"/>
          <w:szCs w:val="32"/>
          <w:lang w:val="en-US" w:eastAsia="zh-CN"/>
        </w:rPr>
        <w:t>评审方法参照综合评分法进行，采购方从全部满足招标文件且全部实质性响应要求的供应商中，按照评审指标进行独立评分，评审结果按评审后得分由高到低顺序排列，评审得分最高的</w:t>
      </w:r>
      <w:r>
        <w:rPr>
          <w:rFonts w:hint="eastAsia" w:eastAsia="方正仿宋_GBK"/>
          <w:sz w:val="32"/>
          <w:szCs w:val="32"/>
          <w:lang w:val="en-US" w:eastAsia="zh-CN"/>
        </w:rPr>
        <w:t>供应商</w:t>
      </w:r>
      <w:r>
        <w:rPr>
          <w:rFonts w:hint="default" w:ascii="Times New Roman" w:hAnsi="Times New Roman" w:eastAsia="方正仿宋_GBK"/>
          <w:sz w:val="32"/>
          <w:szCs w:val="32"/>
          <w:lang w:val="en-US" w:eastAsia="zh-CN"/>
        </w:rPr>
        <w:t>为候选成交供应商。得分相同的，按报价由低到高顺序排列。得分且报价相同的，以评审因素量化指标得分最高的供应商为候选成交供应商。</w:t>
      </w:r>
    </w:p>
    <w:p w14:paraId="48E51D1E">
      <w:pPr>
        <w:numPr>
          <w:ilvl w:val="0"/>
          <w:numId w:val="1"/>
        </w:numPr>
        <w:spacing w:line="56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rPr>
        <w:t>评分标准</w:t>
      </w:r>
    </w:p>
    <w:tbl>
      <w:tblPr>
        <w:tblStyle w:val="14"/>
        <w:tblpPr w:leftFromText="180" w:rightFromText="180" w:vertAnchor="text" w:horzAnchor="page" w:tblpX="1142" w:tblpY="618"/>
        <w:tblOverlap w:val="never"/>
        <w:tblW w:w="9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780"/>
        <w:gridCol w:w="675"/>
        <w:gridCol w:w="510"/>
        <w:gridCol w:w="7126"/>
      </w:tblGrid>
      <w:tr w14:paraId="279F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14" w:type="dxa"/>
            <w:shd w:val="clear" w:color="auto" w:fill="C6D9F0" w:themeFill="text2" w:themeFillTint="33"/>
            <w:vAlign w:val="center"/>
          </w:tcPr>
          <w:p w14:paraId="7F00C9EE">
            <w:pPr>
              <w:autoSpaceDE w:val="0"/>
              <w:autoSpaceDN w:val="0"/>
              <w:adjustRightInd w:val="0"/>
              <w:snapToGrid w:val="0"/>
              <w:spacing w:line="30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序号</w:t>
            </w:r>
          </w:p>
        </w:tc>
        <w:tc>
          <w:tcPr>
            <w:tcW w:w="1455" w:type="dxa"/>
            <w:gridSpan w:val="2"/>
            <w:shd w:val="clear" w:color="auto" w:fill="C6D9F0" w:themeFill="text2" w:themeFillTint="33"/>
            <w:vAlign w:val="center"/>
          </w:tcPr>
          <w:p w14:paraId="00D2ADA1">
            <w:pPr>
              <w:autoSpaceDE w:val="0"/>
              <w:autoSpaceDN w:val="0"/>
              <w:adjustRightInd w:val="0"/>
              <w:snapToGrid w:val="0"/>
              <w:spacing w:line="30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评审项目</w:t>
            </w:r>
          </w:p>
        </w:tc>
        <w:tc>
          <w:tcPr>
            <w:tcW w:w="510" w:type="dxa"/>
            <w:shd w:val="clear" w:color="auto" w:fill="C6D9F0" w:themeFill="text2" w:themeFillTint="33"/>
            <w:vAlign w:val="center"/>
          </w:tcPr>
          <w:p w14:paraId="4F7460FD">
            <w:pPr>
              <w:autoSpaceDE w:val="0"/>
              <w:autoSpaceDN w:val="0"/>
              <w:adjustRightInd w:val="0"/>
              <w:snapToGrid w:val="0"/>
              <w:spacing w:line="30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分值</w:t>
            </w:r>
          </w:p>
        </w:tc>
        <w:tc>
          <w:tcPr>
            <w:tcW w:w="7126" w:type="dxa"/>
            <w:shd w:val="clear" w:color="auto" w:fill="C6D9F0" w:themeFill="text2" w:themeFillTint="33"/>
            <w:vAlign w:val="center"/>
          </w:tcPr>
          <w:p w14:paraId="5C97383C">
            <w:pPr>
              <w:autoSpaceDE w:val="0"/>
              <w:autoSpaceDN w:val="0"/>
              <w:adjustRightInd w:val="0"/>
              <w:snapToGrid w:val="0"/>
              <w:spacing w:line="30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评分标准</w:t>
            </w:r>
          </w:p>
        </w:tc>
      </w:tr>
      <w:tr w14:paraId="188D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9" w:hRule="exact"/>
        </w:trPr>
        <w:tc>
          <w:tcPr>
            <w:tcW w:w="514" w:type="dxa"/>
            <w:vAlign w:val="center"/>
          </w:tcPr>
          <w:p w14:paraId="6076054F">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1</w:t>
            </w:r>
          </w:p>
        </w:tc>
        <w:tc>
          <w:tcPr>
            <w:tcW w:w="780" w:type="dxa"/>
            <w:vMerge w:val="restart"/>
            <w:vAlign w:val="center"/>
          </w:tcPr>
          <w:p w14:paraId="3B2496CA">
            <w:pPr>
              <w:autoSpaceDE w:val="0"/>
              <w:autoSpaceDN w:val="0"/>
              <w:adjustRightInd w:val="0"/>
              <w:snapToGrid w:val="0"/>
              <w:spacing w:line="4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技术部分（5</w:t>
            </w:r>
            <w:r>
              <w:rPr>
                <w:rFonts w:hint="eastAsia" w:ascii="方正仿宋_GBK" w:hAnsi="方正仿宋_GBK" w:eastAsia="方正仿宋_GBK" w:cs="方正仿宋_GBK"/>
                <w:sz w:val="24"/>
                <w:szCs w:val="24"/>
                <w:lang w:val="en-US" w:eastAsia="zh-CN"/>
              </w:rPr>
              <w:t>0</w:t>
            </w:r>
            <w:r>
              <w:rPr>
                <w:rFonts w:hint="eastAsia" w:ascii="方正仿宋_GBK" w:hAnsi="方正仿宋_GBK" w:eastAsia="方正仿宋_GBK" w:cs="方正仿宋_GBK"/>
                <w:sz w:val="24"/>
                <w:szCs w:val="24"/>
              </w:rPr>
              <w:t>分）</w:t>
            </w:r>
          </w:p>
        </w:tc>
        <w:tc>
          <w:tcPr>
            <w:tcW w:w="675" w:type="dxa"/>
            <w:vAlign w:val="center"/>
          </w:tcPr>
          <w:p w14:paraId="67C4D1C9">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r>
              <w:rPr>
                <w:rFonts w:ascii="方正仿宋_GBK" w:hAnsi="方正仿宋_GBK" w:eastAsia="方正仿宋_GBK" w:cs="方正仿宋_GBK"/>
                <w:spacing w:val="-1"/>
                <w:sz w:val="24"/>
                <w:szCs w:val="24"/>
              </w:rPr>
              <w:t>项目策划执行方案</w:t>
            </w:r>
          </w:p>
        </w:tc>
        <w:tc>
          <w:tcPr>
            <w:tcW w:w="510" w:type="dxa"/>
            <w:vAlign w:val="center"/>
          </w:tcPr>
          <w:p w14:paraId="68266C13">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val="en-US"/>
              </w:rPr>
            </w:pPr>
            <w:r>
              <w:rPr>
                <w:rFonts w:hint="eastAsia" w:ascii="方正仿宋_GBK" w:hAnsi="方正仿宋_GBK" w:eastAsia="方正仿宋_GBK" w:cs="方正仿宋_GBK"/>
                <w:sz w:val="24"/>
                <w:szCs w:val="24"/>
                <w:lang w:eastAsia="zh-CN"/>
              </w:rPr>
              <w:t>20</w:t>
            </w:r>
          </w:p>
        </w:tc>
        <w:tc>
          <w:tcPr>
            <w:tcW w:w="7126" w:type="dxa"/>
            <w:vAlign w:val="center"/>
          </w:tcPr>
          <w:p w14:paraId="25DA9DF3">
            <w:pPr>
              <w:pStyle w:val="29"/>
              <w:spacing w:line="360" w:lineRule="exact"/>
              <w:ind w:firstLine="480" w:firstLineChars="200"/>
              <w:jc w:val="lef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根据供应商提供的项目策划执行方案进行评审：</w:t>
            </w:r>
          </w:p>
          <w:p w14:paraId="3DD94614">
            <w:pPr>
              <w:pStyle w:val="29"/>
              <w:spacing w:line="360" w:lineRule="exact"/>
              <w:ind w:firstLine="480" w:firstLineChars="200"/>
              <w:jc w:val="lef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1.提供详尽、完善的项目策划执行方案，对招聘活动内容策划、人员安排、场地布置、现场管理和后续跟踪、后勤保障、项目管理计划等工作的理解程度及实施等有详尽描述，完全满足或优于采购人需求，有利于项目实施。</w:t>
            </w:r>
            <w:r>
              <w:rPr>
                <w:rFonts w:hint="eastAsia" w:ascii="方正仿宋_GBK" w:hAnsi="方正仿宋_GBK" w:eastAsia="方正仿宋_GBK" w:cs="方正仿宋_GBK"/>
                <w:sz w:val="24"/>
                <w:szCs w:val="24"/>
                <w:highlight w:val="none"/>
                <w:lang w:val="en-US" w:eastAsia="zh-CN"/>
              </w:rPr>
              <w:t>得</w:t>
            </w:r>
            <w:r>
              <w:rPr>
                <w:rFonts w:hint="eastAsia" w:ascii="方正仿宋_GBK" w:hAnsi="方正仿宋_GBK" w:eastAsia="方正仿宋_GBK" w:cs="方正仿宋_GBK"/>
                <w:sz w:val="24"/>
                <w:szCs w:val="24"/>
                <w:highlight w:val="none"/>
                <w:lang w:eastAsia="zh-CN"/>
              </w:rPr>
              <w:t>20</w:t>
            </w:r>
            <w:r>
              <w:rPr>
                <w:rFonts w:hint="eastAsia" w:ascii="方正仿宋_GBK" w:hAnsi="方正仿宋_GBK" w:eastAsia="方正仿宋_GBK" w:cs="方正仿宋_GBK"/>
                <w:sz w:val="24"/>
                <w:szCs w:val="24"/>
                <w:highlight w:val="none"/>
                <w:lang w:val="en-US" w:eastAsia="zh-CN"/>
              </w:rPr>
              <w:t>分</w:t>
            </w:r>
            <w:r>
              <w:rPr>
                <w:rFonts w:hint="eastAsia" w:ascii="方正仿宋_GBK" w:hAnsi="方正仿宋_GBK" w:eastAsia="方正仿宋_GBK" w:cs="方正仿宋_GBK"/>
                <w:sz w:val="24"/>
                <w:szCs w:val="24"/>
                <w:highlight w:val="none"/>
              </w:rPr>
              <w:t>。</w:t>
            </w:r>
          </w:p>
          <w:p w14:paraId="5DD111B8">
            <w:pPr>
              <w:pStyle w:val="29"/>
              <w:spacing w:line="360" w:lineRule="exact"/>
              <w:ind w:firstLine="480" w:firstLineChars="200"/>
              <w:jc w:val="lef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2.提供完善的项目策划执行方案，对招聘活动内容策划、人员安排、场地布置、现场管理和后续跟踪、后勤保障、项目管理计划等工作的理解程度及实施等有描述，基本满足采购人需求。</w:t>
            </w:r>
            <w:r>
              <w:rPr>
                <w:rFonts w:hint="eastAsia" w:ascii="方正仿宋_GBK" w:hAnsi="方正仿宋_GBK" w:eastAsia="方正仿宋_GBK" w:cs="方正仿宋_GBK"/>
                <w:sz w:val="24"/>
                <w:szCs w:val="24"/>
                <w:highlight w:val="none"/>
                <w:lang w:val="en-US" w:eastAsia="zh-CN"/>
              </w:rPr>
              <w:t>得1</w:t>
            </w:r>
            <w:r>
              <w:rPr>
                <w:rFonts w:hint="eastAsia" w:ascii="方正仿宋_GBK" w:hAnsi="方正仿宋_GBK" w:eastAsia="方正仿宋_GBK" w:cs="方正仿宋_GBK"/>
                <w:sz w:val="24"/>
                <w:szCs w:val="24"/>
                <w:highlight w:val="none"/>
                <w:lang w:eastAsia="zh-CN"/>
              </w:rPr>
              <w:t>5</w:t>
            </w:r>
            <w:r>
              <w:rPr>
                <w:rFonts w:hint="eastAsia" w:ascii="方正仿宋_GBK" w:hAnsi="方正仿宋_GBK" w:eastAsia="方正仿宋_GBK" w:cs="方正仿宋_GBK"/>
                <w:sz w:val="24"/>
                <w:szCs w:val="24"/>
                <w:highlight w:val="none"/>
                <w:lang w:val="en-US" w:eastAsia="zh-CN"/>
              </w:rPr>
              <w:t>分</w:t>
            </w:r>
            <w:r>
              <w:rPr>
                <w:rFonts w:hint="eastAsia" w:ascii="方正仿宋_GBK" w:hAnsi="方正仿宋_GBK" w:eastAsia="方正仿宋_GBK" w:cs="方正仿宋_GBK"/>
                <w:sz w:val="24"/>
                <w:szCs w:val="24"/>
                <w:highlight w:val="none"/>
              </w:rPr>
              <w:t>。</w:t>
            </w:r>
          </w:p>
          <w:p w14:paraId="45264863">
            <w:pPr>
              <w:pStyle w:val="29"/>
              <w:spacing w:line="360" w:lineRule="exact"/>
              <w:ind w:firstLine="480" w:firstLineChars="200"/>
              <w:jc w:val="left"/>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3.提供简单的项目策划执行方案，对招聘活动内容策划、人员安排、场地布置、现场管理和后续跟踪、后勤保障、项目管理计划等工作的理解程度及实施等有简单描述，部分满足采购人需求。</w:t>
            </w:r>
            <w:r>
              <w:rPr>
                <w:rFonts w:hint="eastAsia" w:ascii="方正仿宋_GBK" w:hAnsi="方正仿宋_GBK" w:eastAsia="方正仿宋_GBK" w:cs="方正仿宋_GBK"/>
                <w:sz w:val="24"/>
                <w:szCs w:val="24"/>
                <w:highlight w:val="none"/>
                <w:lang w:val="en-US" w:eastAsia="zh-CN"/>
              </w:rPr>
              <w:t>得</w:t>
            </w:r>
            <w:r>
              <w:rPr>
                <w:rFonts w:hint="eastAsia" w:ascii="方正仿宋_GBK" w:hAnsi="方正仿宋_GBK" w:eastAsia="方正仿宋_GBK" w:cs="方正仿宋_GBK"/>
                <w:sz w:val="24"/>
                <w:szCs w:val="24"/>
                <w:highlight w:val="none"/>
                <w:lang w:eastAsia="zh-CN"/>
              </w:rPr>
              <w:t>10</w:t>
            </w:r>
            <w:r>
              <w:rPr>
                <w:rFonts w:hint="eastAsia" w:ascii="方正仿宋_GBK" w:hAnsi="方正仿宋_GBK" w:eastAsia="方正仿宋_GBK" w:cs="方正仿宋_GBK"/>
                <w:sz w:val="24"/>
                <w:szCs w:val="24"/>
                <w:highlight w:val="none"/>
                <w:lang w:val="en-US" w:eastAsia="zh-CN"/>
              </w:rPr>
              <w:t>分</w:t>
            </w:r>
            <w:r>
              <w:rPr>
                <w:rFonts w:hint="eastAsia" w:ascii="方正仿宋_GBK" w:hAnsi="方正仿宋_GBK" w:eastAsia="方正仿宋_GBK" w:cs="方正仿宋_GBK"/>
                <w:sz w:val="24"/>
                <w:szCs w:val="24"/>
                <w:highlight w:val="none"/>
                <w:lang w:eastAsia="zh-CN"/>
              </w:rPr>
              <w:t>。</w:t>
            </w:r>
          </w:p>
          <w:p w14:paraId="3DC955AD">
            <w:pPr>
              <w:pStyle w:val="29"/>
              <w:spacing w:line="360" w:lineRule="exact"/>
              <w:ind w:firstLine="480" w:firstLineChars="200"/>
              <w:jc w:val="lef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4.提供的项目策划执行方案不够全面，对招聘活动内容策划、人员安排、场地布置、现场管理和后续跟踪、后勤保障、项目管理计划等工作的理解程度及实施等描述不全，仅与采购人需求相关。</w:t>
            </w:r>
            <w:r>
              <w:rPr>
                <w:rFonts w:hint="eastAsia" w:ascii="方正仿宋_GBK" w:hAnsi="方正仿宋_GBK" w:eastAsia="方正仿宋_GBK" w:cs="方正仿宋_GBK"/>
                <w:sz w:val="24"/>
                <w:szCs w:val="24"/>
                <w:highlight w:val="none"/>
                <w:lang w:val="en-US" w:eastAsia="zh-CN"/>
              </w:rPr>
              <w:t>得</w:t>
            </w:r>
            <w:r>
              <w:rPr>
                <w:rFonts w:hint="eastAsia" w:ascii="方正仿宋_GBK" w:hAnsi="方正仿宋_GBK" w:eastAsia="方正仿宋_GBK" w:cs="方正仿宋_GBK"/>
                <w:sz w:val="24"/>
                <w:szCs w:val="24"/>
                <w:highlight w:val="none"/>
                <w:lang w:eastAsia="zh-CN"/>
              </w:rPr>
              <w:t>5</w:t>
            </w:r>
            <w:r>
              <w:rPr>
                <w:rFonts w:hint="eastAsia" w:ascii="方正仿宋_GBK" w:hAnsi="方正仿宋_GBK" w:eastAsia="方正仿宋_GBK" w:cs="方正仿宋_GBK"/>
                <w:sz w:val="24"/>
                <w:szCs w:val="24"/>
                <w:highlight w:val="none"/>
                <w:lang w:val="en-US" w:eastAsia="zh-CN"/>
              </w:rPr>
              <w:t>分</w:t>
            </w:r>
            <w:r>
              <w:rPr>
                <w:rFonts w:hint="eastAsia" w:ascii="方正仿宋_GBK" w:hAnsi="方正仿宋_GBK" w:eastAsia="方正仿宋_GBK" w:cs="方正仿宋_GBK"/>
                <w:sz w:val="24"/>
                <w:szCs w:val="24"/>
                <w:highlight w:val="none"/>
              </w:rPr>
              <w:t>。</w:t>
            </w:r>
          </w:p>
          <w:p w14:paraId="1C2E2997">
            <w:pPr>
              <w:wordWrap w:val="0"/>
              <w:spacing w:line="360" w:lineRule="exact"/>
              <w:ind w:left="0" w:firstLine="478" w:firstLineChars="200"/>
              <w:jc w:val="left"/>
              <w:rPr>
                <w:rFonts w:hint="eastAsia" w:ascii="方正仿宋_GBK" w:hAnsi="方正仿宋_GBK" w:eastAsia="方正仿宋_GBK" w:cs="方正仿宋_GBK"/>
                <w:spacing w:val="-1"/>
                <w:sz w:val="24"/>
                <w:szCs w:val="24"/>
              </w:rPr>
            </w:pPr>
            <w:r>
              <w:rPr>
                <w:rFonts w:hint="default" w:ascii="方正仿宋_GBK" w:hAnsi="方正仿宋_GBK" w:eastAsia="方正仿宋_GBK" w:cs="方正仿宋_GBK"/>
                <w:b/>
                <w:bCs/>
                <w:spacing w:val="-1"/>
                <w:sz w:val="24"/>
                <w:szCs w:val="24"/>
              </w:rPr>
              <w:t>5.</w:t>
            </w:r>
            <w:r>
              <w:rPr>
                <w:rFonts w:hint="eastAsia" w:ascii="方正仿宋_GBK" w:hAnsi="方正仿宋_GBK" w:eastAsia="方正仿宋_GBK" w:cs="方正仿宋_GBK"/>
                <w:spacing w:val="-1"/>
                <w:sz w:val="24"/>
                <w:szCs w:val="24"/>
              </w:rPr>
              <w:t>未提交项目策划执行方案</w:t>
            </w:r>
            <w:r>
              <w:rPr>
                <w:rFonts w:hint="default" w:ascii="方正仿宋_GBK" w:hAnsi="方正仿宋_GBK" w:eastAsia="方正仿宋_GBK" w:cs="方正仿宋_GBK"/>
                <w:spacing w:val="-1"/>
                <w:sz w:val="24"/>
                <w:szCs w:val="24"/>
              </w:rPr>
              <w:t>。</w:t>
            </w:r>
            <w:r>
              <w:rPr>
                <w:rFonts w:hint="eastAsia" w:ascii="方正仿宋_GBK" w:hAnsi="方正仿宋_GBK" w:eastAsia="方正仿宋_GBK" w:cs="方正仿宋_GBK"/>
                <w:spacing w:val="-1"/>
                <w:sz w:val="24"/>
                <w:szCs w:val="24"/>
              </w:rPr>
              <w:t>不得分。</w:t>
            </w:r>
          </w:p>
          <w:p w14:paraId="1C7142FD">
            <w:pPr>
              <w:autoSpaceDE w:val="0"/>
              <w:autoSpaceDN w:val="0"/>
              <w:adjustRightInd w:val="0"/>
              <w:snapToGrid w:val="0"/>
              <w:spacing w:line="300" w:lineRule="exact"/>
              <w:jc w:val="left"/>
              <w:rPr>
                <w:rFonts w:hint="eastAsia" w:ascii="方正仿宋_GBK" w:hAnsi="方正仿宋_GBK" w:eastAsia="方正仿宋_GBK" w:cs="方正仿宋_GBK"/>
                <w:sz w:val="24"/>
                <w:szCs w:val="24"/>
                <w:lang w:eastAsia="zh-CN"/>
              </w:rPr>
            </w:pPr>
          </w:p>
        </w:tc>
      </w:tr>
      <w:tr w14:paraId="3320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5" w:hRule="atLeast"/>
        </w:trPr>
        <w:tc>
          <w:tcPr>
            <w:tcW w:w="514" w:type="dxa"/>
            <w:vAlign w:val="center"/>
          </w:tcPr>
          <w:p w14:paraId="602CD333">
            <w:pPr>
              <w:autoSpaceDE w:val="0"/>
              <w:autoSpaceDN w:val="0"/>
              <w:adjustRightInd w:val="0"/>
              <w:snapToGrid w:val="0"/>
              <w:spacing w:line="300" w:lineRule="exact"/>
              <w:jc w:val="center"/>
              <w:rPr>
                <w:rFonts w:hint="default"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2</w:t>
            </w:r>
          </w:p>
        </w:tc>
        <w:tc>
          <w:tcPr>
            <w:tcW w:w="780" w:type="dxa"/>
            <w:vMerge w:val="continue"/>
            <w:vAlign w:val="center"/>
          </w:tcPr>
          <w:p w14:paraId="4B66900C">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p>
        </w:tc>
        <w:tc>
          <w:tcPr>
            <w:tcW w:w="675" w:type="dxa"/>
            <w:vAlign w:val="center"/>
          </w:tcPr>
          <w:p w14:paraId="6346EB36">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工作及人员安排</w:t>
            </w:r>
          </w:p>
        </w:tc>
        <w:tc>
          <w:tcPr>
            <w:tcW w:w="510" w:type="dxa"/>
            <w:vAlign w:val="center"/>
          </w:tcPr>
          <w:p w14:paraId="46D17A22">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15</w:t>
            </w:r>
          </w:p>
        </w:tc>
        <w:tc>
          <w:tcPr>
            <w:tcW w:w="7126" w:type="dxa"/>
            <w:vAlign w:val="center"/>
          </w:tcPr>
          <w:p w14:paraId="639B39A7">
            <w:pPr>
              <w:wordWrap w:val="0"/>
              <w:spacing w:line="360" w:lineRule="exact"/>
              <w:ind w:left="0" w:firstLine="480" w:firstLineChars="200"/>
              <w:jc w:val="left"/>
              <w:rPr>
                <w:rFonts w:hint="eastAsia" w:ascii="方正仿宋_GBK" w:hAnsi="方正仿宋_GBK" w:eastAsia="方正仿宋_GBK" w:cs="方正仿宋_GBK"/>
                <w:sz w:val="24"/>
                <w:szCs w:val="24"/>
              </w:rPr>
            </w:pPr>
          </w:p>
          <w:p w14:paraId="77FCB2B8">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val="en-US" w:eastAsia="zh-Hans"/>
              </w:rPr>
            </w:pPr>
            <w:r>
              <w:rPr>
                <w:rFonts w:hint="eastAsia" w:ascii="方正仿宋_GBK" w:hAnsi="方正仿宋_GBK" w:eastAsia="方正仿宋_GBK" w:cs="方正仿宋_GBK"/>
                <w:kern w:val="0"/>
                <w:sz w:val="24"/>
                <w:szCs w:val="24"/>
                <w:highlight w:val="none"/>
                <w:lang w:eastAsia="zh-Hans"/>
              </w:rPr>
              <w:t>根据</w:t>
            </w:r>
            <w:r>
              <w:rPr>
                <w:rFonts w:hint="eastAsia" w:ascii="方正仿宋_GBK" w:hAnsi="方正仿宋_GBK" w:eastAsia="方正仿宋_GBK" w:cs="方正仿宋_GBK"/>
                <w:kern w:val="0"/>
                <w:sz w:val="24"/>
                <w:szCs w:val="24"/>
                <w:highlight w:val="none"/>
                <w:lang w:val="en-US" w:eastAsia="zh-Hans"/>
              </w:rPr>
              <w:t>供应商提供的工作及人员安排（含进度规划、人员配置、场地落实）进行评审：</w:t>
            </w:r>
          </w:p>
          <w:p w14:paraId="7FE8801D">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1.完整提交进度规划、人员配置清单、场地落实材料；全部事项时间节点清晰、责任到人，场地条件完全匹配本次活动需求，材料要素齐全无缺项</w:t>
            </w:r>
            <w:r>
              <w:rPr>
                <w:rFonts w:hint="eastAsia" w:ascii="方正仿宋_GBK" w:hAnsi="方正仿宋_GBK" w:eastAsia="方正仿宋_GBK" w:cs="方正仿宋_GBK"/>
                <w:kern w:val="0"/>
                <w:sz w:val="24"/>
                <w:szCs w:val="24"/>
                <w:highlight w:val="none"/>
                <w:lang w:val="en-US" w:eastAsia="zh-Hans"/>
              </w:rPr>
              <w:t>。</w:t>
            </w:r>
            <w:r>
              <w:rPr>
                <w:rFonts w:hint="eastAsia" w:ascii="方正仿宋_GBK" w:hAnsi="方正仿宋_GBK" w:eastAsia="方正仿宋_GBK" w:cs="方正仿宋_GBK"/>
                <w:kern w:val="0"/>
                <w:sz w:val="24"/>
                <w:szCs w:val="24"/>
                <w:highlight w:val="none"/>
                <w:lang w:eastAsia="zh-Hans"/>
              </w:rPr>
              <w:t>得</w:t>
            </w:r>
            <w:r>
              <w:rPr>
                <w:rFonts w:hint="eastAsia" w:ascii="方正仿宋_GBK" w:hAnsi="方正仿宋_GBK" w:eastAsia="方正仿宋_GBK" w:cs="方正仿宋_GBK"/>
                <w:kern w:val="0"/>
                <w:sz w:val="24"/>
                <w:szCs w:val="24"/>
                <w:highlight w:val="none"/>
                <w:lang w:val="en-US" w:eastAsia="zh-Hans"/>
              </w:rPr>
              <w:t>15</w:t>
            </w:r>
            <w:r>
              <w:rPr>
                <w:rFonts w:hint="eastAsia" w:ascii="方正仿宋_GBK" w:hAnsi="方正仿宋_GBK" w:eastAsia="方正仿宋_GBK" w:cs="方正仿宋_GBK"/>
                <w:kern w:val="0"/>
                <w:sz w:val="24"/>
                <w:szCs w:val="24"/>
                <w:highlight w:val="none"/>
                <w:lang w:eastAsia="zh-Hans"/>
              </w:rPr>
              <w:t>分。</w:t>
            </w:r>
          </w:p>
          <w:p w14:paraId="4EAC57E3">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2.已提交进度规划、人员清单、场地材料；但材料存在缺项，或是时间节点、责任人、场地信息内容不完整。得 10 分。</w:t>
            </w:r>
          </w:p>
          <w:p w14:paraId="11E77BF2">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3.仅提交相关材料，但进度计划、人员分工、场地条件与本次活动不匹配，无法支撑活动组织实施。得 5 分。</w:t>
            </w:r>
          </w:p>
          <w:p w14:paraId="109DDFCA">
            <w:pPr>
              <w:wordWrap w:val="0"/>
              <w:spacing w:line="360" w:lineRule="exact"/>
              <w:ind w:left="0" w:leftChars="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4.未提交进度规划、人员配置、场地落实任何材料</w:t>
            </w:r>
            <w:r>
              <w:rPr>
                <w:rFonts w:hint="eastAsia" w:ascii="方正仿宋_GBK" w:hAnsi="方正仿宋_GBK" w:eastAsia="方正仿宋_GBK" w:cs="方正仿宋_GBK"/>
                <w:kern w:val="0"/>
                <w:sz w:val="24"/>
                <w:szCs w:val="24"/>
                <w:highlight w:val="none"/>
                <w:lang w:val="en-US" w:eastAsia="zh-Hans"/>
              </w:rPr>
              <w:t>。</w:t>
            </w:r>
            <w:r>
              <w:rPr>
                <w:rFonts w:hint="eastAsia" w:ascii="方正仿宋_GBK" w:hAnsi="方正仿宋_GBK" w:eastAsia="方正仿宋_GBK" w:cs="方正仿宋_GBK"/>
                <w:kern w:val="0"/>
                <w:sz w:val="24"/>
                <w:szCs w:val="24"/>
                <w:highlight w:val="none"/>
                <w:lang w:eastAsia="zh-Hans"/>
              </w:rPr>
              <w:t>不得分。</w:t>
            </w:r>
          </w:p>
          <w:p w14:paraId="587E4767">
            <w:pPr>
              <w:pStyle w:val="2"/>
              <w:rPr>
                <w:rFonts w:hint="eastAsia" w:ascii="方正仿宋_GBK" w:hAnsi="方正仿宋_GBK" w:eastAsia="方正仿宋_GBK" w:cs="方正仿宋_GBK"/>
                <w:sz w:val="24"/>
                <w:szCs w:val="24"/>
                <w:lang w:eastAsia="zh-CN"/>
              </w:rPr>
            </w:pPr>
          </w:p>
        </w:tc>
      </w:tr>
      <w:tr w14:paraId="27F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5" w:hRule="atLeast"/>
        </w:trPr>
        <w:tc>
          <w:tcPr>
            <w:tcW w:w="514" w:type="dxa"/>
            <w:vAlign w:val="center"/>
          </w:tcPr>
          <w:p w14:paraId="3439EFE6">
            <w:pPr>
              <w:autoSpaceDE w:val="0"/>
              <w:autoSpaceDN w:val="0"/>
              <w:adjustRightInd w:val="0"/>
              <w:snapToGrid w:val="0"/>
              <w:spacing w:line="300" w:lineRule="exact"/>
              <w:jc w:val="center"/>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3</w:t>
            </w:r>
          </w:p>
        </w:tc>
        <w:tc>
          <w:tcPr>
            <w:tcW w:w="780" w:type="dxa"/>
            <w:vMerge w:val="continue"/>
            <w:vAlign w:val="center"/>
          </w:tcPr>
          <w:p w14:paraId="583D2948">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p>
        </w:tc>
        <w:tc>
          <w:tcPr>
            <w:tcW w:w="675" w:type="dxa"/>
            <w:vAlign w:val="center"/>
          </w:tcPr>
          <w:p w14:paraId="47729E7A">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物资物料配备</w:t>
            </w:r>
          </w:p>
        </w:tc>
        <w:tc>
          <w:tcPr>
            <w:tcW w:w="510" w:type="dxa"/>
            <w:vAlign w:val="center"/>
          </w:tcPr>
          <w:p w14:paraId="4AFE89FB">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15</w:t>
            </w:r>
          </w:p>
        </w:tc>
        <w:tc>
          <w:tcPr>
            <w:tcW w:w="7126" w:type="dxa"/>
            <w:vAlign w:val="center"/>
          </w:tcPr>
          <w:p w14:paraId="1D3E3AD4">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根据供应商提供的物资物料配备（含物资清单、设备设施配置）进行评审：</w:t>
            </w:r>
          </w:p>
          <w:p w14:paraId="6045DF49">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1.完整提交物资物料清单、设备设施配置清单；物资、设备全部对应本次活动需求，品类、数量齐全，无缺漏。得15分。</w:t>
            </w:r>
          </w:p>
          <w:p w14:paraId="40BE6CB7">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2.已提交物资、设备清单；但清单要素存在缺项，部分物资、设备的品类、数量信息不完整。得 10 分。</w:t>
            </w:r>
          </w:p>
          <w:p w14:paraId="17C7CEF9">
            <w:pPr>
              <w:wordWrap w:val="0"/>
              <w:spacing w:line="360" w:lineRule="exact"/>
              <w:ind w:left="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3.已提交物资与设备清单，但所列物资、设备和本次活动事项不匹配，无法保障活动开展。得 5 分。</w:t>
            </w:r>
          </w:p>
          <w:p w14:paraId="4EA50F6E">
            <w:pPr>
              <w:wordWrap w:val="0"/>
              <w:spacing w:line="360" w:lineRule="exact"/>
              <w:ind w:firstLine="480" w:firstLineChars="200"/>
              <w:jc w:val="left"/>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kern w:val="0"/>
                <w:sz w:val="24"/>
                <w:szCs w:val="24"/>
                <w:highlight w:val="none"/>
                <w:lang w:eastAsia="zh-Hans"/>
              </w:rPr>
              <w:t>4.未提交物资物料、设备设施任何清单材料。不得分。</w:t>
            </w:r>
          </w:p>
        </w:tc>
      </w:tr>
      <w:tr w14:paraId="79C6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trPr>
        <w:tc>
          <w:tcPr>
            <w:tcW w:w="514" w:type="dxa"/>
            <w:vAlign w:val="center"/>
          </w:tcPr>
          <w:p w14:paraId="5885D39A">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4</w:t>
            </w:r>
          </w:p>
        </w:tc>
        <w:tc>
          <w:tcPr>
            <w:tcW w:w="780" w:type="dxa"/>
            <w:vMerge w:val="restart"/>
            <w:vAlign w:val="center"/>
          </w:tcPr>
          <w:p w14:paraId="38A91D40">
            <w:pPr>
              <w:autoSpaceDE w:val="0"/>
              <w:autoSpaceDN w:val="0"/>
              <w:adjustRightInd w:val="0"/>
              <w:snapToGrid w:val="0"/>
              <w:spacing w:line="4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商务部分（3</w:t>
            </w:r>
            <w:r>
              <w:rPr>
                <w:rFonts w:hint="eastAsia" w:ascii="方正仿宋_GBK" w:hAnsi="方正仿宋_GBK" w:eastAsia="方正仿宋_GBK" w:cs="方正仿宋_GBK"/>
                <w:sz w:val="24"/>
                <w:szCs w:val="24"/>
                <w:lang w:val="en-US" w:eastAsia="zh-CN"/>
              </w:rPr>
              <w:t>0</w:t>
            </w:r>
            <w:r>
              <w:rPr>
                <w:rFonts w:hint="eastAsia" w:ascii="方正仿宋_GBK" w:hAnsi="方正仿宋_GBK" w:eastAsia="方正仿宋_GBK" w:cs="方正仿宋_GBK"/>
                <w:sz w:val="24"/>
                <w:szCs w:val="24"/>
              </w:rPr>
              <w:t>分）</w:t>
            </w:r>
          </w:p>
        </w:tc>
        <w:tc>
          <w:tcPr>
            <w:tcW w:w="675" w:type="dxa"/>
            <w:vAlign w:val="center"/>
          </w:tcPr>
          <w:p w14:paraId="001B0728">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同类业绩</w:t>
            </w:r>
          </w:p>
        </w:tc>
        <w:tc>
          <w:tcPr>
            <w:tcW w:w="510" w:type="dxa"/>
            <w:vAlign w:val="center"/>
          </w:tcPr>
          <w:p w14:paraId="694B6E10">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10</w:t>
            </w:r>
          </w:p>
        </w:tc>
        <w:tc>
          <w:tcPr>
            <w:tcW w:w="7126" w:type="dxa"/>
            <w:vAlign w:val="center"/>
          </w:tcPr>
          <w:p w14:paraId="1EB97AF5">
            <w:pPr>
              <w:wordWrap w:val="0"/>
              <w:ind w:firstLine="420"/>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根据供应商近三年以来（即2023年12月1日至投标截止之日，以合同日期为准），承接的</w:t>
            </w:r>
            <w:r>
              <w:rPr>
                <w:rFonts w:hint="eastAsia" w:ascii="方正仿宋_GBK" w:hAnsi="方正仿宋_GBK" w:eastAsia="方正仿宋_GBK" w:cs="方正仿宋_GBK"/>
                <w:kern w:val="0"/>
                <w:sz w:val="24"/>
                <w:szCs w:val="24"/>
                <w:highlight w:val="none"/>
                <w:lang w:val="en-US" w:eastAsia="zh-Hans"/>
              </w:rPr>
              <w:t>人才招引、就业招聘服务</w:t>
            </w:r>
            <w:r>
              <w:rPr>
                <w:rFonts w:hint="eastAsia" w:ascii="方正仿宋_GBK" w:hAnsi="方正仿宋_GBK" w:eastAsia="方正仿宋_GBK" w:cs="方正仿宋_GBK"/>
                <w:kern w:val="0"/>
                <w:sz w:val="24"/>
                <w:szCs w:val="24"/>
                <w:highlight w:val="none"/>
                <w:lang w:eastAsia="zh-Hans"/>
              </w:rPr>
              <w:t>项目进行评审</w:t>
            </w:r>
            <w:r>
              <w:rPr>
                <w:rFonts w:hint="eastAsia" w:ascii="方正仿宋_GBK" w:hAnsi="方正仿宋_GBK" w:eastAsia="方正仿宋_GBK" w:cs="方正仿宋_GBK"/>
                <w:kern w:val="0"/>
                <w:sz w:val="24"/>
                <w:szCs w:val="24"/>
                <w:highlight w:val="none"/>
                <w:lang w:eastAsia="zh-Hans"/>
              </w:rPr>
              <w:t>，每提供1个得2.5分，本项最高得10分。</w:t>
            </w:r>
          </w:p>
          <w:p w14:paraId="33EC86AD">
            <w:pPr>
              <w:wordWrap w:val="0"/>
              <w:spacing w:line="360" w:lineRule="exact"/>
              <w:ind w:left="0" w:leftChars="0" w:firstLine="480" w:firstLineChars="200"/>
              <w:jc w:val="left"/>
              <w:rPr>
                <w:rFonts w:hint="eastAsia" w:ascii="方正仿宋_GBK" w:hAnsi="方正仿宋_GBK" w:eastAsia="方正仿宋_GBK" w:cs="方正仿宋_GBK"/>
                <w:kern w:val="0"/>
                <w:sz w:val="24"/>
                <w:szCs w:val="24"/>
                <w:highlight w:val="none"/>
                <w:lang w:eastAsia="zh-Hans"/>
              </w:rPr>
            </w:pPr>
            <w:r>
              <w:rPr>
                <w:rFonts w:hint="eastAsia" w:ascii="方正仿宋_GBK" w:hAnsi="方正仿宋_GBK" w:eastAsia="方正仿宋_GBK" w:cs="方正仿宋_GBK"/>
                <w:kern w:val="0"/>
                <w:sz w:val="24"/>
                <w:szCs w:val="24"/>
                <w:highlight w:val="none"/>
                <w:lang w:eastAsia="zh-Hans"/>
              </w:rPr>
              <w:t>注：需提供项目合同关键页（包括合同内容、签约日期、双方盖章等）复印件加盖响应人公章，同一项目的业绩不重复计分，提供合同模糊、无法认定的不得分。</w:t>
            </w:r>
          </w:p>
        </w:tc>
      </w:tr>
      <w:tr w14:paraId="4C92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1" w:hRule="atLeast"/>
        </w:trPr>
        <w:tc>
          <w:tcPr>
            <w:tcW w:w="514" w:type="dxa"/>
            <w:vAlign w:val="center"/>
          </w:tcPr>
          <w:p w14:paraId="6CFC97D8">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5</w:t>
            </w:r>
          </w:p>
        </w:tc>
        <w:tc>
          <w:tcPr>
            <w:tcW w:w="780" w:type="dxa"/>
            <w:vMerge w:val="continue"/>
            <w:vAlign w:val="center"/>
          </w:tcPr>
          <w:p w14:paraId="3AEF0564">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p>
        </w:tc>
        <w:tc>
          <w:tcPr>
            <w:tcW w:w="675" w:type="dxa"/>
            <w:vAlign w:val="center"/>
          </w:tcPr>
          <w:p w14:paraId="05410D72">
            <w:pPr>
              <w:autoSpaceDE w:val="0"/>
              <w:autoSpaceDN w:val="0"/>
              <w:adjustRightInd w:val="0"/>
              <w:snapToGrid w:val="0"/>
              <w:spacing w:line="3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团队服务能力</w:t>
            </w:r>
          </w:p>
        </w:tc>
        <w:tc>
          <w:tcPr>
            <w:tcW w:w="510" w:type="dxa"/>
            <w:vAlign w:val="center"/>
          </w:tcPr>
          <w:p w14:paraId="165D2BFB">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20</w:t>
            </w:r>
          </w:p>
        </w:tc>
        <w:tc>
          <w:tcPr>
            <w:tcW w:w="7126" w:type="dxa"/>
            <w:vAlign w:val="center"/>
          </w:tcPr>
          <w:p w14:paraId="4BC03FFD">
            <w:pPr>
              <w:wordWrap w:val="0"/>
              <w:spacing w:line="360" w:lineRule="exact"/>
              <w:ind w:left="0" w:firstLine="480" w:firstLineChars="200"/>
              <w:jc w:val="left"/>
              <w:rPr>
                <w:rFonts w:hint="eastAsia" w:ascii="方正仿宋_GBK" w:hAnsi="方正仿宋_GBK" w:eastAsia="方正仿宋_GBK" w:cs="方正仿宋_GBK"/>
                <w:spacing w:val="0"/>
                <w:kern w:val="0"/>
                <w:sz w:val="24"/>
                <w:szCs w:val="24"/>
                <w:highlight w:val="none"/>
                <w:lang w:eastAsia="zh-Hans"/>
              </w:rPr>
            </w:pPr>
            <w:r>
              <w:rPr>
                <w:rFonts w:hint="eastAsia" w:ascii="方正仿宋_GBK" w:hAnsi="方正仿宋_GBK" w:eastAsia="方正仿宋_GBK" w:cs="方正仿宋_GBK"/>
                <w:spacing w:val="0"/>
                <w:kern w:val="0"/>
                <w:sz w:val="24"/>
                <w:szCs w:val="24"/>
                <w:highlight w:val="none"/>
                <w:lang w:val="en-US" w:eastAsia="zh-Hans"/>
              </w:rPr>
              <w:t>1、服务团队成员为供应商全职工作人员，且</w:t>
            </w:r>
            <w:r>
              <w:rPr>
                <w:rFonts w:hint="eastAsia" w:ascii="方正仿宋_GBK" w:hAnsi="方正仿宋_GBK" w:eastAsia="方正仿宋_GBK" w:cs="方正仿宋_GBK"/>
                <w:spacing w:val="0"/>
                <w:kern w:val="0"/>
                <w:sz w:val="24"/>
                <w:szCs w:val="24"/>
                <w:highlight w:val="none"/>
                <w:lang w:eastAsia="zh-Hans"/>
              </w:rPr>
              <w:t>持</w:t>
            </w:r>
            <w:r>
              <w:rPr>
                <w:rFonts w:hint="eastAsia" w:ascii="方正仿宋_GBK" w:hAnsi="方正仿宋_GBK" w:eastAsia="方正仿宋_GBK" w:cs="方正仿宋_GBK"/>
                <w:spacing w:val="0"/>
                <w:kern w:val="0"/>
                <w:sz w:val="24"/>
                <w:szCs w:val="24"/>
                <w:highlight w:val="none"/>
                <w:lang w:val="en-US" w:eastAsia="zh-Hans"/>
              </w:rPr>
              <w:t>有</w:t>
            </w:r>
            <w:r>
              <w:rPr>
                <w:rFonts w:hint="eastAsia" w:ascii="方正仿宋_GBK" w:hAnsi="方正仿宋_GBK" w:eastAsia="方正仿宋_GBK" w:cs="方正仿宋_GBK"/>
                <w:spacing w:val="0"/>
                <w:kern w:val="0"/>
                <w:sz w:val="24"/>
                <w:szCs w:val="24"/>
                <w:highlight w:val="none"/>
                <w:lang w:eastAsia="zh-Hans"/>
              </w:rPr>
              <w:t>企业</w:t>
            </w:r>
            <w:r>
              <w:rPr>
                <w:rFonts w:hint="eastAsia" w:ascii="方正仿宋_GBK" w:hAnsi="方正仿宋_GBK" w:eastAsia="方正仿宋_GBK" w:cs="方正仿宋_GBK"/>
                <w:spacing w:val="0"/>
                <w:kern w:val="0"/>
                <w:sz w:val="24"/>
                <w:szCs w:val="24"/>
                <w:highlight w:val="none"/>
                <w:lang w:val="en-US" w:eastAsia="zh-Hans"/>
              </w:rPr>
              <w:t>人力资源</w:t>
            </w:r>
            <w:r>
              <w:rPr>
                <w:rFonts w:hint="eastAsia" w:ascii="方正仿宋_GBK" w:hAnsi="方正仿宋_GBK" w:eastAsia="方正仿宋_GBK" w:cs="方正仿宋_GBK"/>
                <w:spacing w:val="0"/>
                <w:kern w:val="0"/>
                <w:sz w:val="24"/>
                <w:szCs w:val="24"/>
                <w:highlight w:val="none"/>
                <w:lang w:eastAsia="zh-Hans"/>
              </w:rPr>
              <w:t>管理师</w:t>
            </w:r>
            <w:r>
              <w:rPr>
                <w:rFonts w:hint="eastAsia" w:ascii="方正仿宋_GBK" w:hAnsi="方正仿宋_GBK" w:eastAsia="方正仿宋_GBK" w:cs="方正仿宋_GBK"/>
                <w:spacing w:val="0"/>
                <w:kern w:val="0"/>
                <w:sz w:val="24"/>
                <w:szCs w:val="24"/>
                <w:highlight w:val="none"/>
                <w:lang w:val="en-US" w:eastAsia="zh-Hans"/>
              </w:rPr>
              <w:t>证书，可随时根据采购方需求调配。每提供一名</w:t>
            </w:r>
            <w:r>
              <w:rPr>
                <w:rFonts w:hint="eastAsia" w:ascii="方正仿宋_GBK" w:hAnsi="方正仿宋_GBK" w:eastAsia="方正仿宋_GBK" w:cs="方正仿宋_GBK"/>
                <w:spacing w:val="0"/>
                <w:kern w:val="0"/>
                <w:sz w:val="24"/>
                <w:szCs w:val="24"/>
                <w:highlight w:val="none"/>
                <w:lang w:eastAsia="zh-Hans"/>
              </w:rPr>
              <w:t>得</w:t>
            </w:r>
            <w:r>
              <w:rPr>
                <w:rFonts w:hint="eastAsia" w:ascii="方正仿宋_GBK" w:hAnsi="方正仿宋_GBK" w:eastAsia="方正仿宋_GBK" w:cs="方正仿宋_GBK"/>
                <w:spacing w:val="0"/>
                <w:kern w:val="0"/>
                <w:sz w:val="24"/>
                <w:szCs w:val="24"/>
                <w:highlight w:val="none"/>
                <w:lang w:val="en-US" w:eastAsia="zh-Hans"/>
              </w:rPr>
              <w:t>2</w:t>
            </w:r>
            <w:r>
              <w:rPr>
                <w:rFonts w:hint="eastAsia" w:ascii="方正仿宋_GBK" w:hAnsi="方正仿宋_GBK" w:eastAsia="方正仿宋_GBK" w:cs="方正仿宋_GBK"/>
                <w:spacing w:val="0"/>
                <w:kern w:val="0"/>
                <w:sz w:val="24"/>
                <w:szCs w:val="24"/>
                <w:highlight w:val="none"/>
                <w:lang w:eastAsia="zh-Hans"/>
              </w:rPr>
              <w:t>分，</w:t>
            </w:r>
            <w:r>
              <w:rPr>
                <w:rFonts w:hint="eastAsia" w:ascii="方正仿宋_GBK" w:hAnsi="方正仿宋_GBK" w:eastAsia="方正仿宋_GBK" w:cs="方正仿宋_GBK"/>
                <w:spacing w:val="0"/>
                <w:kern w:val="0"/>
                <w:sz w:val="24"/>
                <w:szCs w:val="24"/>
                <w:highlight w:val="none"/>
                <w:lang w:val="en-US" w:eastAsia="zh-Hans"/>
              </w:rPr>
              <w:t>本项</w:t>
            </w:r>
            <w:r>
              <w:rPr>
                <w:rFonts w:hint="eastAsia" w:ascii="方正仿宋_GBK" w:hAnsi="方正仿宋_GBK" w:eastAsia="方正仿宋_GBK" w:cs="方正仿宋_GBK"/>
                <w:spacing w:val="0"/>
                <w:kern w:val="0"/>
                <w:sz w:val="24"/>
                <w:szCs w:val="24"/>
                <w:highlight w:val="none"/>
                <w:lang w:eastAsia="zh-Hans"/>
              </w:rPr>
              <w:t>最高得</w:t>
            </w:r>
            <w:r>
              <w:rPr>
                <w:rFonts w:hint="eastAsia" w:ascii="方正仿宋_GBK" w:hAnsi="方正仿宋_GBK" w:eastAsia="方正仿宋_GBK" w:cs="方正仿宋_GBK"/>
                <w:spacing w:val="0"/>
                <w:kern w:val="0"/>
                <w:sz w:val="24"/>
                <w:szCs w:val="24"/>
                <w:highlight w:val="none"/>
                <w:lang w:val="en-US" w:eastAsia="zh-Hans"/>
              </w:rPr>
              <w:t>1</w:t>
            </w:r>
            <w:r>
              <w:rPr>
                <w:rFonts w:hint="eastAsia" w:ascii="方正仿宋_GBK" w:hAnsi="方正仿宋_GBK" w:eastAsia="方正仿宋_GBK" w:cs="方正仿宋_GBK"/>
                <w:spacing w:val="0"/>
                <w:kern w:val="0"/>
                <w:sz w:val="24"/>
                <w:szCs w:val="24"/>
                <w:highlight w:val="none"/>
                <w:lang w:eastAsia="zh-Hans"/>
              </w:rPr>
              <w:t>0分。</w:t>
            </w:r>
          </w:p>
          <w:p w14:paraId="04EC1EF6">
            <w:pPr>
              <w:wordWrap w:val="0"/>
              <w:spacing w:line="360" w:lineRule="exact"/>
              <w:ind w:left="0" w:leftChars="0" w:firstLine="480" w:firstLineChars="200"/>
              <w:jc w:val="left"/>
              <w:rPr>
                <w:rFonts w:hint="eastAsia" w:ascii="方正仿宋_GBK" w:hAnsi="方正仿宋_GBK" w:eastAsia="方正仿宋_GBK" w:cs="方正仿宋_GBK"/>
                <w:spacing w:val="0"/>
                <w:kern w:val="0"/>
                <w:sz w:val="24"/>
                <w:szCs w:val="24"/>
                <w:highlight w:val="none"/>
                <w:lang w:eastAsia="zh-Hans"/>
              </w:rPr>
            </w:pPr>
            <w:r>
              <w:rPr>
                <w:rFonts w:hint="eastAsia" w:ascii="方正仿宋_GBK" w:hAnsi="方正仿宋_GBK" w:eastAsia="方正仿宋_GBK" w:cs="方正仿宋_GBK"/>
                <w:spacing w:val="0"/>
                <w:kern w:val="0"/>
                <w:sz w:val="24"/>
                <w:szCs w:val="24"/>
                <w:highlight w:val="none"/>
                <w:lang w:eastAsia="zh-Hans"/>
              </w:rPr>
              <w:t>注：</w:t>
            </w:r>
            <w:r>
              <w:rPr>
                <w:rFonts w:hint="eastAsia" w:ascii="方正仿宋_GBK" w:hAnsi="方正仿宋_GBK" w:eastAsia="方正仿宋_GBK" w:cs="方正仿宋_GBK"/>
                <w:spacing w:val="0"/>
                <w:kern w:val="0"/>
                <w:sz w:val="24"/>
                <w:szCs w:val="24"/>
                <w:highlight w:val="none"/>
                <w:lang w:val="en-US" w:eastAsia="zh-Hans"/>
              </w:rPr>
              <w:t>需提供团队人员配置清单、资格证书复印件以及上述人员在投标截止时间前3个月任意一个月在供应商购买的社保证明复印件复印件，并加盖供应商单位公章，</w:t>
            </w:r>
            <w:r>
              <w:rPr>
                <w:rFonts w:hint="eastAsia" w:ascii="方正仿宋_GBK" w:hAnsi="方正仿宋_GBK" w:eastAsia="方正仿宋_GBK" w:cs="方正仿宋_GBK"/>
                <w:spacing w:val="0"/>
                <w:kern w:val="0"/>
                <w:sz w:val="24"/>
                <w:szCs w:val="24"/>
                <w:highlight w:val="none"/>
                <w:lang w:eastAsia="zh-Hans"/>
              </w:rPr>
              <w:t>同一人员获得证书的，不重复得分，</w:t>
            </w:r>
            <w:r>
              <w:rPr>
                <w:rFonts w:hint="eastAsia" w:ascii="方正仿宋_GBK" w:hAnsi="方正仿宋_GBK" w:eastAsia="方正仿宋_GBK" w:cs="方正仿宋_GBK"/>
                <w:spacing w:val="0"/>
                <w:kern w:val="0"/>
                <w:sz w:val="24"/>
                <w:szCs w:val="24"/>
                <w:highlight w:val="none"/>
                <w:lang w:val="en-US" w:eastAsia="zh-Hans"/>
              </w:rPr>
              <w:t>没有提供材料不得分。</w:t>
            </w:r>
            <w:r>
              <w:rPr>
                <w:rFonts w:hint="eastAsia" w:ascii="方正仿宋_GBK" w:hAnsi="方正仿宋_GBK" w:eastAsia="方正仿宋_GBK" w:cs="方正仿宋_GBK"/>
                <w:spacing w:val="0"/>
                <w:kern w:val="0"/>
                <w:sz w:val="24"/>
                <w:szCs w:val="24"/>
                <w:highlight w:val="none"/>
                <w:lang w:eastAsia="zh-Hans"/>
              </w:rPr>
              <w:br w:type="textWrapping"/>
            </w:r>
            <w:r>
              <w:rPr>
                <w:rFonts w:hint="eastAsia" w:ascii="方正仿宋_GBK" w:hAnsi="方正仿宋_GBK" w:eastAsia="方正仿宋_GBK" w:cs="方正仿宋_GBK"/>
                <w:spacing w:val="0"/>
                <w:kern w:val="0"/>
                <w:sz w:val="24"/>
                <w:szCs w:val="24"/>
                <w:highlight w:val="none"/>
                <w:lang w:eastAsia="zh-Hans"/>
              </w:rPr>
              <w:t xml:space="preserve">    </w:t>
            </w:r>
            <w:r>
              <w:rPr>
                <w:rFonts w:hint="eastAsia" w:ascii="方正仿宋_GBK" w:hAnsi="方正仿宋_GBK" w:eastAsia="方正仿宋_GBK" w:cs="方正仿宋_GBK"/>
                <w:spacing w:val="0"/>
                <w:kern w:val="0"/>
                <w:sz w:val="24"/>
                <w:szCs w:val="24"/>
                <w:highlight w:val="none"/>
                <w:lang w:val="en-US" w:eastAsia="zh-Hans"/>
              </w:rPr>
              <w:t>2、项目负责人需为供应商的全职人员，且具备招聘服务管理工作经验</w:t>
            </w:r>
            <w:r>
              <w:rPr>
                <w:rFonts w:hint="eastAsia" w:ascii="方正仿宋_GBK" w:hAnsi="方正仿宋_GBK" w:eastAsia="方正仿宋_GBK" w:cs="方正仿宋_GBK"/>
                <w:spacing w:val="0"/>
                <w:kern w:val="0"/>
                <w:sz w:val="24"/>
                <w:szCs w:val="24"/>
                <w:highlight w:val="none"/>
                <w:lang w:eastAsia="zh-Hans"/>
              </w:rPr>
              <w:t>，每</w:t>
            </w:r>
            <w:r>
              <w:rPr>
                <w:rFonts w:hint="eastAsia" w:ascii="方正仿宋_GBK" w:hAnsi="方正仿宋_GBK" w:eastAsia="方正仿宋_GBK" w:cs="方正仿宋_GBK"/>
                <w:spacing w:val="0"/>
                <w:kern w:val="0"/>
                <w:sz w:val="24"/>
                <w:szCs w:val="24"/>
                <w:highlight w:val="none"/>
                <w:lang w:val="en-US" w:eastAsia="zh-Hans"/>
              </w:rPr>
              <w:t>具有一个合作项目得5分，本项最高得</w:t>
            </w:r>
            <w:r>
              <w:rPr>
                <w:rFonts w:hint="eastAsia" w:ascii="方正仿宋_GBK" w:hAnsi="方正仿宋_GBK" w:eastAsia="方正仿宋_GBK" w:cs="方正仿宋_GBK"/>
                <w:spacing w:val="0"/>
                <w:kern w:val="0"/>
                <w:sz w:val="24"/>
                <w:szCs w:val="24"/>
                <w:highlight w:val="none"/>
                <w:lang w:eastAsia="zh-Hans"/>
              </w:rPr>
              <w:t>10</w:t>
            </w:r>
            <w:r>
              <w:rPr>
                <w:rFonts w:hint="eastAsia" w:ascii="方正仿宋_GBK" w:hAnsi="方正仿宋_GBK" w:eastAsia="方正仿宋_GBK" w:cs="方正仿宋_GBK"/>
                <w:spacing w:val="0"/>
                <w:kern w:val="0"/>
                <w:sz w:val="24"/>
                <w:szCs w:val="24"/>
                <w:highlight w:val="none"/>
                <w:lang w:val="en-US" w:eastAsia="zh-Hans"/>
              </w:rPr>
              <w:t>分，无相关经验不得分。</w:t>
            </w:r>
            <w:r>
              <w:rPr>
                <w:rFonts w:hint="eastAsia" w:ascii="方正仿宋_GBK" w:hAnsi="方正仿宋_GBK" w:eastAsia="方正仿宋_GBK" w:cs="方正仿宋_GBK"/>
                <w:spacing w:val="0"/>
                <w:kern w:val="0"/>
                <w:sz w:val="24"/>
                <w:szCs w:val="24"/>
                <w:highlight w:val="none"/>
                <w:lang w:eastAsia="zh-Hans"/>
              </w:rPr>
              <w:t xml:space="preserve">         </w:t>
            </w:r>
          </w:p>
          <w:p w14:paraId="20AEBC11">
            <w:pPr>
              <w:wordWrap w:val="0"/>
              <w:spacing w:line="360" w:lineRule="exact"/>
              <w:ind w:left="0" w:leftChars="0" w:firstLine="480" w:firstLineChars="20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pacing w:val="0"/>
                <w:kern w:val="0"/>
                <w:sz w:val="24"/>
                <w:szCs w:val="24"/>
                <w:highlight w:val="none"/>
                <w:lang w:val="en-US" w:eastAsia="zh-Hans"/>
              </w:rPr>
              <w:t>注：需提供项目负责人在投标截止时间前3个月任意一个月在供应商购买的社保证明复印件，签署合作合同或协议的关键页或提供项目需求方出具的证明材料（均需加盖供应商单位公章）</w:t>
            </w:r>
            <w:r>
              <w:rPr>
                <w:rFonts w:hint="eastAsia" w:ascii="方正仿宋_GBK" w:hAnsi="方正仿宋_GBK" w:eastAsia="方正仿宋_GBK" w:cs="方正仿宋_GBK"/>
                <w:spacing w:val="0"/>
                <w:kern w:val="0"/>
                <w:sz w:val="24"/>
                <w:szCs w:val="24"/>
                <w:highlight w:val="none"/>
                <w:lang w:eastAsia="zh-Hans"/>
              </w:rPr>
              <w:t>，</w:t>
            </w:r>
            <w:r>
              <w:rPr>
                <w:rFonts w:hint="eastAsia" w:ascii="方正仿宋_GBK" w:hAnsi="方正仿宋_GBK" w:eastAsia="方正仿宋_GBK" w:cs="方正仿宋_GBK"/>
                <w:spacing w:val="0"/>
                <w:kern w:val="0"/>
                <w:sz w:val="24"/>
                <w:szCs w:val="24"/>
                <w:highlight w:val="none"/>
                <w:lang w:val="en-US" w:eastAsia="zh-Hans"/>
              </w:rPr>
              <w:t>没有提供材料不得分。</w:t>
            </w:r>
          </w:p>
        </w:tc>
      </w:tr>
      <w:tr w14:paraId="5D35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5" w:hRule="atLeast"/>
        </w:trPr>
        <w:tc>
          <w:tcPr>
            <w:tcW w:w="514" w:type="dxa"/>
            <w:vAlign w:val="center"/>
          </w:tcPr>
          <w:p w14:paraId="74F05D7C">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6</w:t>
            </w:r>
          </w:p>
        </w:tc>
        <w:tc>
          <w:tcPr>
            <w:tcW w:w="1455" w:type="dxa"/>
            <w:gridSpan w:val="2"/>
            <w:vAlign w:val="center"/>
          </w:tcPr>
          <w:p w14:paraId="5C1C3F9D">
            <w:pPr>
              <w:autoSpaceDE w:val="0"/>
              <w:autoSpaceDN w:val="0"/>
              <w:adjustRightInd w:val="0"/>
              <w:snapToGrid w:val="0"/>
              <w:spacing w:line="40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价格评分（</w:t>
            </w:r>
            <w:r>
              <w:rPr>
                <w:rFonts w:hint="eastAsia" w:ascii="方正仿宋_GBK" w:hAnsi="方正仿宋_GBK" w:eastAsia="方正仿宋_GBK" w:cs="方正仿宋_GBK"/>
                <w:sz w:val="24"/>
                <w:szCs w:val="24"/>
                <w:lang w:val="en-US" w:eastAsia="zh-CN"/>
              </w:rPr>
              <w:t>20</w:t>
            </w:r>
            <w:r>
              <w:rPr>
                <w:rFonts w:hint="eastAsia" w:ascii="方正仿宋_GBK" w:hAnsi="方正仿宋_GBK" w:eastAsia="方正仿宋_GBK" w:cs="方正仿宋_GBK"/>
                <w:sz w:val="24"/>
                <w:szCs w:val="24"/>
              </w:rPr>
              <w:t>分）</w:t>
            </w:r>
          </w:p>
        </w:tc>
        <w:tc>
          <w:tcPr>
            <w:tcW w:w="510" w:type="dxa"/>
            <w:vAlign w:val="center"/>
          </w:tcPr>
          <w:p w14:paraId="6680880E">
            <w:pPr>
              <w:autoSpaceDE w:val="0"/>
              <w:autoSpaceDN w:val="0"/>
              <w:adjustRightInd w:val="0"/>
              <w:snapToGrid w:val="0"/>
              <w:spacing w:line="300" w:lineRule="exact"/>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20</w:t>
            </w:r>
          </w:p>
        </w:tc>
        <w:tc>
          <w:tcPr>
            <w:tcW w:w="7126" w:type="dxa"/>
            <w:vAlign w:val="center"/>
          </w:tcPr>
          <w:p w14:paraId="5BE854A3">
            <w:pPr>
              <w:wordWrap w:val="0"/>
              <w:spacing w:line="360" w:lineRule="exact"/>
              <w:ind w:left="0" w:firstLine="480" w:firstLineChars="200"/>
              <w:jc w:val="left"/>
              <w:rPr>
                <w:rFonts w:hint="eastAsia" w:ascii="方正仿宋_GBK" w:hAnsi="方正仿宋_GBK" w:eastAsia="方正仿宋_GBK" w:cs="方正仿宋_GBK"/>
                <w:spacing w:val="0"/>
                <w:kern w:val="0"/>
                <w:sz w:val="24"/>
                <w:szCs w:val="24"/>
                <w:highlight w:val="none"/>
                <w:lang w:eastAsia="zh-Hans"/>
              </w:rPr>
            </w:pPr>
            <w:r>
              <w:rPr>
                <w:rFonts w:hint="eastAsia" w:ascii="方正仿宋_GBK" w:hAnsi="方正仿宋_GBK" w:eastAsia="方正仿宋_GBK" w:cs="方正仿宋_GBK"/>
                <w:spacing w:val="0"/>
                <w:kern w:val="0"/>
                <w:sz w:val="24"/>
                <w:szCs w:val="24"/>
                <w:highlight w:val="none"/>
                <w:lang w:eastAsia="zh-Hans"/>
              </w:rPr>
              <w:t>计算价格评分统一采用低价优先法计算，各有效供应商的评标价中，取最低价为评标基准价，其价格为满分，其他供应商的价格分统一按照下列公式计算：价格评分=（评分基准价/评标价）×</w:t>
            </w:r>
            <w:r>
              <w:rPr>
                <w:rFonts w:hint="eastAsia" w:ascii="方正仿宋_GBK" w:hAnsi="方正仿宋_GBK" w:eastAsia="方正仿宋_GBK" w:cs="方正仿宋_GBK"/>
                <w:spacing w:val="0"/>
                <w:kern w:val="0"/>
                <w:sz w:val="24"/>
                <w:szCs w:val="24"/>
                <w:highlight w:val="none"/>
                <w:lang w:val="en-US" w:eastAsia="zh-Hans"/>
              </w:rPr>
              <w:t>20</w:t>
            </w:r>
            <w:r>
              <w:rPr>
                <w:rFonts w:hint="eastAsia" w:ascii="方正仿宋_GBK" w:hAnsi="方正仿宋_GBK" w:eastAsia="方正仿宋_GBK" w:cs="方正仿宋_GBK"/>
                <w:spacing w:val="0"/>
                <w:kern w:val="0"/>
                <w:sz w:val="24"/>
                <w:szCs w:val="24"/>
                <w:highlight w:val="none"/>
                <w:lang w:eastAsia="zh-Hans"/>
              </w:rPr>
              <w:t>分</w:t>
            </w:r>
          </w:p>
          <w:p w14:paraId="3F12AA22">
            <w:pPr>
              <w:wordWrap w:val="0"/>
              <w:spacing w:line="360" w:lineRule="exact"/>
              <w:ind w:left="0" w:leftChars="0" w:firstLine="480" w:firstLineChars="200"/>
              <w:jc w:val="left"/>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0"/>
                <w:kern w:val="0"/>
                <w:sz w:val="24"/>
                <w:szCs w:val="24"/>
                <w:highlight w:val="none"/>
                <w:lang w:eastAsia="zh-Hans"/>
              </w:rPr>
              <w:t>注：为了保证供应商的公平竞争和采购人的合法权益，防止恶意竞争，保证项目质量，供应商报价若低于采购预算金额的65%，须对报价合理性及成本构成作书面说明（如报价成本分析），否则将视为低于成本报价被认定为报价无效。</w:t>
            </w:r>
          </w:p>
        </w:tc>
      </w:tr>
    </w:tbl>
    <w:p w14:paraId="67CE5427"/>
    <w:sectPr>
      <w:footerReference r:id="rId3" w:type="default"/>
      <w:pgSz w:w="11905" w:h="16837"/>
      <w:pgMar w:top="1134" w:right="1134" w:bottom="1134" w:left="1134" w:header="567" w:footer="1588" w:gutter="0"/>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仿宋_GBK">
    <w:panose1 w:val="03000509000000000000"/>
    <w:charset w:val="86"/>
    <w:family w:val="script"/>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4E89F">
    <w:pPr>
      <w:pStyle w:val="10"/>
      <w:jc w:val="center"/>
    </w:pPr>
    <w:r>
      <w:rPr>
        <w:rFonts w:hint="eastAsia" w:ascii="宋体" w:hAnsi="宋体"/>
        <w:sz w:val="24"/>
        <w:szCs w:val="24"/>
      </w:rPr>
      <w:t>第</w:t>
    </w:r>
    <w:sdt>
      <w:sdtPr>
        <w:rPr>
          <w:rFonts w:ascii="宋体" w:hAnsi="宋体"/>
          <w:sz w:val="24"/>
          <w:szCs w:val="24"/>
        </w:rPr>
        <w:id w:val="500859636"/>
      </w:sdtPr>
      <w:sdtEndPr>
        <w:rPr>
          <w:rFonts w:ascii="Times New Roman" w:hAnsi="Times New Roman"/>
          <w:sz w:val="18"/>
          <w:szCs w:val="18"/>
        </w:rPr>
      </w:sdtEndPr>
      <w:sdtContent>
        <w:sdt>
          <w:sdtPr>
            <w:rPr>
              <w:rFonts w:ascii="宋体" w:hAnsi="宋体"/>
              <w:sz w:val="24"/>
              <w:szCs w:val="24"/>
            </w:rPr>
            <w:id w:val="1728636285"/>
          </w:sdtPr>
          <w:sdtEndPr>
            <w:rPr>
              <w:rFonts w:ascii="Times New Roman" w:hAnsi="Times New Roman"/>
              <w:sz w:val="18"/>
              <w:szCs w:val="18"/>
            </w:rPr>
          </w:sdtEndPr>
          <w:sdtContent>
            <w:r>
              <w:rPr>
                <w:rFonts w:ascii="宋体" w:hAnsi="宋体"/>
                <w:sz w:val="24"/>
                <w:szCs w:val="24"/>
                <w:lang w:val="zh-CN"/>
              </w:rPr>
              <w:t xml:space="preserve"> </w:t>
            </w:r>
            <w:r>
              <w:rPr>
                <w:rFonts w:ascii="宋体" w:hAnsi="宋体"/>
                <w:b/>
                <w:bCs/>
                <w:sz w:val="24"/>
                <w:szCs w:val="24"/>
              </w:rPr>
              <w:fldChar w:fldCharType="begin"/>
            </w:r>
            <w:r>
              <w:rPr>
                <w:rFonts w:ascii="宋体" w:hAnsi="宋体"/>
                <w:b/>
                <w:bCs/>
                <w:sz w:val="24"/>
                <w:szCs w:val="24"/>
              </w:rPr>
              <w:instrText xml:space="preserve">PAGE</w:instrText>
            </w:r>
            <w:r>
              <w:rPr>
                <w:rFonts w:ascii="宋体" w:hAnsi="宋体"/>
                <w:b/>
                <w:bCs/>
                <w:sz w:val="24"/>
                <w:szCs w:val="24"/>
              </w:rPr>
              <w:fldChar w:fldCharType="separate"/>
            </w:r>
            <w:r>
              <w:rPr>
                <w:rFonts w:ascii="宋体" w:hAnsi="宋体"/>
                <w:b/>
                <w:bCs/>
                <w:sz w:val="24"/>
                <w:szCs w:val="24"/>
                <w:lang w:val="zh-CN"/>
              </w:rPr>
              <w:t>2</w:t>
            </w:r>
            <w:r>
              <w:rPr>
                <w:rFonts w:ascii="宋体" w:hAnsi="宋体"/>
                <w:b/>
                <w:bCs/>
                <w:sz w:val="24"/>
                <w:szCs w:val="24"/>
              </w:rPr>
              <w:fldChar w:fldCharType="end"/>
            </w:r>
            <w:r>
              <w:rPr>
                <w:rFonts w:ascii="宋体" w:hAnsi="宋体"/>
                <w:sz w:val="24"/>
                <w:szCs w:val="24"/>
                <w:lang w:val="zh-CN"/>
              </w:rPr>
              <w:t xml:space="preserve"> </w:t>
            </w:r>
            <w:r>
              <w:rPr>
                <w:rFonts w:hint="eastAsia" w:ascii="宋体" w:hAnsi="宋体"/>
                <w:sz w:val="24"/>
                <w:szCs w:val="24"/>
                <w:lang w:val="zh-CN"/>
              </w:rPr>
              <w:t>页，共</w:t>
            </w:r>
            <w:r>
              <w:rPr>
                <w:rFonts w:ascii="宋体" w:hAnsi="宋体"/>
                <w:sz w:val="24"/>
                <w:szCs w:val="24"/>
                <w:lang w:val="zh-CN"/>
              </w:rPr>
              <w:t xml:space="preserve"> </w:t>
            </w:r>
            <w:r>
              <w:rPr>
                <w:rFonts w:ascii="宋体" w:hAnsi="宋体"/>
                <w:b/>
                <w:bCs/>
                <w:sz w:val="24"/>
                <w:szCs w:val="24"/>
              </w:rPr>
              <w:fldChar w:fldCharType="begin"/>
            </w:r>
            <w:r>
              <w:rPr>
                <w:rFonts w:ascii="宋体" w:hAnsi="宋体"/>
                <w:b/>
                <w:bCs/>
                <w:sz w:val="24"/>
                <w:szCs w:val="24"/>
              </w:rPr>
              <w:instrText xml:space="preserve">NUMPAGES</w:instrText>
            </w:r>
            <w:r>
              <w:rPr>
                <w:rFonts w:ascii="宋体" w:hAnsi="宋体"/>
                <w:b/>
                <w:bCs/>
                <w:sz w:val="24"/>
                <w:szCs w:val="24"/>
              </w:rPr>
              <w:fldChar w:fldCharType="separate"/>
            </w:r>
            <w:r>
              <w:rPr>
                <w:rFonts w:ascii="宋体" w:hAnsi="宋体"/>
                <w:b/>
                <w:bCs/>
                <w:sz w:val="24"/>
                <w:szCs w:val="24"/>
                <w:lang w:val="zh-CN"/>
              </w:rPr>
              <w:t>2</w:t>
            </w:r>
            <w:r>
              <w:rPr>
                <w:rFonts w:ascii="宋体" w:hAnsi="宋体"/>
                <w:b/>
                <w:bCs/>
                <w:sz w:val="24"/>
                <w:szCs w:val="24"/>
              </w:rPr>
              <w:fldChar w:fldCharType="end"/>
            </w:r>
            <w:r>
              <w:rPr>
                <w:rFonts w:ascii="宋体" w:hAnsi="宋体"/>
                <w:b/>
                <w:bCs/>
                <w:sz w:val="24"/>
                <w:szCs w:val="24"/>
              </w:rPr>
              <w:t xml:space="preserve"> </w:t>
            </w:r>
            <w:r>
              <w:rPr>
                <w:rFonts w:hint="eastAsia" w:ascii="宋体" w:hAnsi="宋体"/>
                <w:b/>
                <w:bCs/>
                <w:sz w:val="24"/>
                <w:szCs w:val="24"/>
              </w:rPr>
              <w:t>页</w:t>
            </w:r>
          </w:sdtContent>
        </w:sdt>
      </w:sdtContent>
    </w:sdt>
  </w:p>
  <w:p w14:paraId="5D31955B">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A9FCE"/>
    <w:multiLevelType w:val="singleLevel"/>
    <w:tmpl w:val="244A9FC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xN2IwMWMyYjk5MWRkODQ0YjgyYWYxMGJmNmQ5NzAifQ=="/>
  </w:docVars>
  <w:rsids>
    <w:rsidRoot w:val="00D679E9"/>
    <w:rsid w:val="00022226"/>
    <w:rsid w:val="000708C0"/>
    <w:rsid w:val="00074E97"/>
    <w:rsid w:val="00076C56"/>
    <w:rsid w:val="000A6ECA"/>
    <w:rsid w:val="00133DEA"/>
    <w:rsid w:val="00172616"/>
    <w:rsid w:val="001947FE"/>
    <w:rsid w:val="001F0482"/>
    <w:rsid w:val="001F3593"/>
    <w:rsid w:val="0028088F"/>
    <w:rsid w:val="002E53F9"/>
    <w:rsid w:val="002F21F7"/>
    <w:rsid w:val="0030070C"/>
    <w:rsid w:val="00402479"/>
    <w:rsid w:val="00455DC3"/>
    <w:rsid w:val="0046044F"/>
    <w:rsid w:val="00492310"/>
    <w:rsid w:val="004B338E"/>
    <w:rsid w:val="004C2560"/>
    <w:rsid w:val="005000E1"/>
    <w:rsid w:val="005067F3"/>
    <w:rsid w:val="005462CC"/>
    <w:rsid w:val="00562522"/>
    <w:rsid w:val="005A28E1"/>
    <w:rsid w:val="005A5EA9"/>
    <w:rsid w:val="005D31D2"/>
    <w:rsid w:val="005D7C93"/>
    <w:rsid w:val="005E4444"/>
    <w:rsid w:val="005F65CD"/>
    <w:rsid w:val="006172A9"/>
    <w:rsid w:val="006C0388"/>
    <w:rsid w:val="007357D2"/>
    <w:rsid w:val="00770D91"/>
    <w:rsid w:val="0077226F"/>
    <w:rsid w:val="007D7E65"/>
    <w:rsid w:val="007F37A5"/>
    <w:rsid w:val="008039D2"/>
    <w:rsid w:val="00844D37"/>
    <w:rsid w:val="00866F4A"/>
    <w:rsid w:val="008704C7"/>
    <w:rsid w:val="00872F17"/>
    <w:rsid w:val="008835E6"/>
    <w:rsid w:val="008B302A"/>
    <w:rsid w:val="00960C28"/>
    <w:rsid w:val="009705C1"/>
    <w:rsid w:val="00A75B42"/>
    <w:rsid w:val="00AF2BDD"/>
    <w:rsid w:val="00B14591"/>
    <w:rsid w:val="00B70F41"/>
    <w:rsid w:val="00BA3BC4"/>
    <w:rsid w:val="00BB62D2"/>
    <w:rsid w:val="00C31C0E"/>
    <w:rsid w:val="00C358EA"/>
    <w:rsid w:val="00C42953"/>
    <w:rsid w:val="00C52C41"/>
    <w:rsid w:val="00C55E11"/>
    <w:rsid w:val="00C817E1"/>
    <w:rsid w:val="00C85FBE"/>
    <w:rsid w:val="00C92D29"/>
    <w:rsid w:val="00C9498C"/>
    <w:rsid w:val="00CA4634"/>
    <w:rsid w:val="00CA781A"/>
    <w:rsid w:val="00CC7892"/>
    <w:rsid w:val="00D160FB"/>
    <w:rsid w:val="00D17737"/>
    <w:rsid w:val="00D679E9"/>
    <w:rsid w:val="00DB2CF1"/>
    <w:rsid w:val="00DE1F0F"/>
    <w:rsid w:val="00DF1221"/>
    <w:rsid w:val="00E24F68"/>
    <w:rsid w:val="00E7180C"/>
    <w:rsid w:val="00E7602F"/>
    <w:rsid w:val="00E92E15"/>
    <w:rsid w:val="00EA06F7"/>
    <w:rsid w:val="00F00B80"/>
    <w:rsid w:val="00F113A1"/>
    <w:rsid w:val="00F63813"/>
    <w:rsid w:val="00F76F0A"/>
    <w:rsid w:val="00FA4EEE"/>
    <w:rsid w:val="012D146A"/>
    <w:rsid w:val="026B3007"/>
    <w:rsid w:val="034921BB"/>
    <w:rsid w:val="03DA48E8"/>
    <w:rsid w:val="040F4144"/>
    <w:rsid w:val="04EE6171"/>
    <w:rsid w:val="05C3041E"/>
    <w:rsid w:val="05C3315A"/>
    <w:rsid w:val="05C869C2"/>
    <w:rsid w:val="0659586C"/>
    <w:rsid w:val="06B41B98"/>
    <w:rsid w:val="06C9164C"/>
    <w:rsid w:val="06DF5D71"/>
    <w:rsid w:val="07506C6F"/>
    <w:rsid w:val="07F916A8"/>
    <w:rsid w:val="08247668"/>
    <w:rsid w:val="08A37B4C"/>
    <w:rsid w:val="09107177"/>
    <w:rsid w:val="09475E50"/>
    <w:rsid w:val="097035F9"/>
    <w:rsid w:val="09B01196"/>
    <w:rsid w:val="09C54508"/>
    <w:rsid w:val="0BC5416A"/>
    <w:rsid w:val="0C345C5B"/>
    <w:rsid w:val="0CE158BE"/>
    <w:rsid w:val="0D6B77D6"/>
    <w:rsid w:val="0DB241E0"/>
    <w:rsid w:val="0E06277D"/>
    <w:rsid w:val="0F4575A6"/>
    <w:rsid w:val="106519DD"/>
    <w:rsid w:val="10B2209B"/>
    <w:rsid w:val="10CD1330"/>
    <w:rsid w:val="114928EB"/>
    <w:rsid w:val="11BA3663"/>
    <w:rsid w:val="11F33019"/>
    <w:rsid w:val="12DC4BFA"/>
    <w:rsid w:val="130305CB"/>
    <w:rsid w:val="133B6A25"/>
    <w:rsid w:val="14FC3F92"/>
    <w:rsid w:val="15325C06"/>
    <w:rsid w:val="154C263F"/>
    <w:rsid w:val="16790B9D"/>
    <w:rsid w:val="17103D25"/>
    <w:rsid w:val="174D4F79"/>
    <w:rsid w:val="175D0ABE"/>
    <w:rsid w:val="18420856"/>
    <w:rsid w:val="18502F73"/>
    <w:rsid w:val="18786026"/>
    <w:rsid w:val="18F25DD8"/>
    <w:rsid w:val="19067AD5"/>
    <w:rsid w:val="195F2D42"/>
    <w:rsid w:val="19706CFD"/>
    <w:rsid w:val="1B707E8E"/>
    <w:rsid w:val="1C626DD1"/>
    <w:rsid w:val="1D7FD1A2"/>
    <w:rsid w:val="1E9D2342"/>
    <w:rsid w:val="1EAC7E14"/>
    <w:rsid w:val="1F29007A"/>
    <w:rsid w:val="1F2B6955"/>
    <w:rsid w:val="1F69738C"/>
    <w:rsid w:val="1FE60110"/>
    <w:rsid w:val="20452C91"/>
    <w:rsid w:val="208A2D9A"/>
    <w:rsid w:val="20955535"/>
    <w:rsid w:val="20FA7F20"/>
    <w:rsid w:val="21043C49"/>
    <w:rsid w:val="21436F43"/>
    <w:rsid w:val="219854AE"/>
    <w:rsid w:val="21E43400"/>
    <w:rsid w:val="24423669"/>
    <w:rsid w:val="24B6415E"/>
    <w:rsid w:val="25D34CE2"/>
    <w:rsid w:val="265359DC"/>
    <w:rsid w:val="26943CDF"/>
    <w:rsid w:val="27B64475"/>
    <w:rsid w:val="27C45CD8"/>
    <w:rsid w:val="281F233A"/>
    <w:rsid w:val="28DA4193"/>
    <w:rsid w:val="292C263E"/>
    <w:rsid w:val="292D0766"/>
    <w:rsid w:val="29791BFE"/>
    <w:rsid w:val="29AC4D73"/>
    <w:rsid w:val="29B175E9"/>
    <w:rsid w:val="2A475CDD"/>
    <w:rsid w:val="2A581813"/>
    <w:rsid w:val="2A64465C"/>
    <w:rsid w:val="2AE61C9F"/>
    <w:rsid w:val="2B146082"/>
    <w:rsid w:val="2D085772"/>
    <w:rsid w:val="2D3A0B08"/>
    <w:rsid w:val="2D6920FF"/>
    <w:rsid w:val="2DFF29E1"/>
    <w:rsid w:val="2E045F3A"/>
    <w:rsid w:val="2EBA2A9C"/>
    <w:rsid w:val="2ECE41FD"/>
    <w:rsid w:val="2EFE3E38"/>
    <w:rsid w:val="2FEA73B1"/>
    <w:rsid w:val="2FF14225"/>
    <w:rsid w:val="30130831"/>
    <w:rsid w:val="30332B06"/>
    <w:rsid w:val="310E416B"/>
    <w:rsid w:val="32680A94"/>
    <w:rsid w:val="327B529D"/>
    <w:rsid w:val="33067C5F"/>
    <w:rsid w:val="332C6155"/>
    <w:rsid w:val="332D7CE1"/>
    <w:rsid w:val="33D35064"/>
    <w:rsid w:val="342F4B63"/>
    <w:rsid w:val="34310DFF"/>
    <w:rsid w:val="3492540B"/>
    <w:rsid w:val="355552CD"/>
    <w:rsid w:val="3583585A"/>
    <w:rsid w:val="35B826C7"/>
    <w:rsid w:val="372E2279"/>
    <w:rsid w:val="382F0057"/>
    <w:rsid w:val="3971644D"/>
    <w:rsid w:val="39745159"/>
    <w:rsid w:val="39A54341"/>
    <w:rsid w:val="39E07108"/>
    <w:rsid w:val="39E430C3"/>
    <w:rsid w:val="39F74BA5"/>
    <w:rsid w:val="3A287454"/>
    <w:rsid w:val="3A897B7B"/>
    <w:rsid w:val="3BC431AC"/>
    <w:rsid w:val="3BC84C86"/>
    <w:rsid w:val="3BDD426E"/>
    <w:rsid w:val="3BE74C35"/>
    <w:rsid w:val="3CCA47F2"/>
    <w:rsid w:val="3CD72A6B"/>
    <w:rsid w:val="3D1B22FA"/>
    <w:rsid w:val="3DCC459A"/>
    <w:rsid w:val="3E6D4261"/>
    <w:rsid w:val="3ECD7114"/>
    <w:rsid w:val="3ECDB459"/>
    <w:rsid w:val="3F455687"/>
    <w:rsid w:val="3FAE21A9"/>
    <w:rsid w:val="3FDF3C26"/>
    <w:rsid w:val="3FF34060"/>
    <w:rsid w:val="401E76EE"/>
    <w:rsid w:val="403A57EB"/>
    <w:rsid w:val="417665CE"/>
    <w:rsid w:val="42B72203"/>
    <w:rsid w:val="42CD5B78"/>
    <w:rsid w:val="43706637"/>
    <w:rsid w:val="43A3196D"/>
    <w:rsid w:val="440A3A43"/>
    <w:rsid w:val="442073EE"/>
    <w:rsid w:val="447640F0"/>
    <w:rsid w:val="44D34460"/>
    <w:rsid w:val="45156827"/>
    <w:rsid w:val="4565582E"/>
    <w:rsid w:val="46366A55"/>
    <w:rsid w:val="464A71CF"/>
    <w:rsid w:val="46F04E55"/>
    <w:rsid w:val="47D46525"/>
    <w:rsid w:val="498F4DFA"/>
    <w:rsid w:val="49D52AEE"/>
    <w:rsid w:val="4A5D2C7F"/>
    <w:rsid w:val="4B0A0F73"/>
    <w:rsid w:val="4DD0399E"/>
    <w:rsid w:val="4E925263"/>
    <w:rsid w:val="4FE623E8"/>
    <w:rsid w:val="5029630A"/>
    <w:rsid w:val="51A760C3"/>
    <w:rsid w:val="52600EBD"/>
    <w:rsid w:val="52D51D30"/>
    <w:rsid w:val="53590226"/>
    <w:rsid w:val="54613836"/>
    <w:rsid w:val="54B202F2"/>
    <w:rsid w:val="55B54D72"/>
    <w:rsid w:val="56B07419"/>
    <w:rsid w:val="56FBAC26"/>
    <w:rsid w:val="576E1E72"/>
    <w:rsid w:val="57967784"/>
    <w:rsid w:val="579F6BBB"/>
    <w:rsid w:val="57A1773B"/>
    <w:rsid w:val="580746F5"/>
    <w:rsid w:val="58214F74"/>
    <w:rsid w:val="5A160B2C"/>
    <w:rsid w:val="5A9A1850"/>
    <w:rsid w:val="5AC16DA7"/>
    <w:rsid w:val="5AD92379"/>
    <w:rsid w:val="5B0F43D2"/>
    <w:rsid w:val="5B773940"/>
    <w:rsid w:val="5BCA1CC1"/>
    <w:rsid w:val="5BFF1FA6"/>
    <w:rsid w:val="5C4C2DF1"/>
    <w:rsid w:val="5E7C711A"/>
    <w:rsid w:val="5E9C0989"/>
    <w:rsid w:val="5EF73AD8"/>
    <w:rsid w:val="5F1648C2"/>
    <w:rsid w:val="5F6A29BF"/>
    <w:rsid w:val="5F7EC234"/>
    <w:rsid w:val="5FF7F321"/>
    <w:rsid w:val="60884E01"/>
    <w:rsid w:val="60A61681"/>
    <w:rsid w:val="614B11AE"/>
    <w:rsid w:val="62760C2D"/>
    <w:rsid w:val="634A1B55"/>
    <w:rsid w:val="63F61A8F"/>
    <w:rsid w:val="63FF7EA3"/>
    <w:rsid w:val="64137F7D"/>
    <w:rsid w:val="64406FC4"/>
    <w:rsid w:val="65962C14"/>
    <w:rsid w:val="661F0FEA"/>
    <w:rsid w:val="668E227E"/>
    <w:rsid w:val="677156E7"/>
    <w:rsid w:val="67874F0A"/>
    <w:rsid w:val="67E3043E"/>
    <w:rsid w:val="69D96597"/>
    <w:rsid w:val="69E10805"/>
    <w:rsid w:val="6A5512F0"/>
    <w:rsid w:val="6A696F8C"/>
    <w:rsid w:val="6A7F2901"/>
    <w:rsid w:val="6A8B4D12"/>
    <w:rsid w:val="6B662DA7"/>
    <w:rsid w:val="6BDECC59"/>
    <w:rsid w:val="6C5C0714"/>
    <w:rsid w:val="6C613F7C"/>
    <w:rsid w:val="6D500DCC"/>
    <w:rsid w:val="6D5B6C1D"/>
    <w:rsid w:val="6D6A56E0"/>
    <w:rsid w:val="6D8A4F94"/>
    <w:rsid w:val="6D9E4D5C"/>
    <w:rsid w:val="6DAF27CD"/>
    <w:rsid w:val="6E6C6C08"/>
    <w:rsid w:val="6E7E3225"/>
    <w:rsid w:val="6EB43047"/>
    <w:rsid w:val="6FDB7514"/>
    <w:rsid w:val="70A7659A"/>
    <w:rsid w:val="70DF7B65"/>
    <w:rsid w:val="716167CC"/>
    <w:rsid w:val="722241AD"/>
    <w:rsid w:val="72901ADD"/>
    <w:rsid w:val="72F41507"/>
    <w:rsid w:val="730B48BA"/>
    <w:rsid w:val="73983259"/>
    <w:rsid w:val="746573CF"/>
    <w:rsid w:val="747F3E5A"/>
    <w:rsid w:val="749173C8"/>
    <w:rsid w:val="75907680"/>
    <w:rsid w:val="761A73D1"/>
    <w:rsid w:val="76A6575C"/>
    <w:rsid w:val="76DA32A9"/>
    <w:rsid w:val="7716147C"/>
    <w:rsid w:val="772C5186"/>
    <w:rsid w:val="7789232A"/>
    <w:rsid w:val="77941065"/>
    <w:rsid w:val="77B5517C"/>
    <w:rsid w:val="77D7E7F8"/>
    <w:rsid w:val="77F64930"/>
    <w:rsid w:val="780D6D66"/>
    <w:rsid w:val="793842B6"/>
    <w:rsid w:val="799A287B"/>
    <w:rsid w:val="7AE85868"/>
    <w:rsid w:val="7B331DF5"/>
    <w:rsid w:val="7B75029D"/>
    <w:rsid w:val="7BC40083"/>
    <w:rsid w:val="7C266648"/>
    <w:rsid w:val="7D692C90"/>
    <w:rsid w:val="7DBF427E"/>
    <w:rsid w:val="7F9D4E73"/>
    <w:rsid w:val="7FEC26F3"/>
    <w:rsid w:val="7FF1D0E2"/>
    <w:rsid w:val="95F3BC4A"/>
    <w:rsid w:val="99FD202C"/>
    <w:rsid w:val="9F7F0C0C"/>
    <w:rsid w:val="A6F9A88E"/>
    <w:rsid w:val="AED26EE4"/>
    <w:rsid w:val="AFFF1918"/>
    <w:rsid w:val="BF7ED31E"/>
    <w:rsid w:val="BF979E8A"/>
    <w:rsid w:val="BFAD1B79"/>
    <w:rsid w:val="CCBA3F81"/>
    <w:rsid w:val="CFFB17DD"/>
    <w:rsid w:val="D3BE4207"/>
    <w:rsid w:val="DBB70856"/>
    <w:rsid w:val="DCF62A2B"/>
    <w:rsid w:val="DDEB8DD7"/>
    <w:rsid w:val="DF7F841E"/>
    <w:rsid w:val="DFC82846"/>
    <w:rsid w:val="EFB6C823"/>
    <w:rsid w:val="F7612198"/>
    <w:rsid w:val="F9EB2B37"/>
    <w:rsid w:val="FA6E35F8"/>
    <w:rsid w:val="FAAF716C"/>
    <w:rsid w:val="FCAFAD9A"/>
    <w:rsid w:val="FD573BDA"/>
    <w:rsid w:val="FD762D2E"/>
    <w:rsid w:val="FDCDDC16"/>
    <w:rsid w:val="FFBAB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autoSpaceDE w:val="0"/>
      <w:autoSpaceDN w:val="0"/>
      <w:adjustRightInd w:val="0"/>
      <w:spacing w:before="340" w:after="330" w:line="578" w:lineRule="auto"/>
      <w:jc w:val="left"/>
      <w:textAlignment w:val="baseline"/>
      <w:outlineLvl w:val="0"/>
    </w:pPr>
    <w:rPr>
      <w:rFonts w:ascii="宋体"/>
      <w:b/>
      <w:kern w:val="44"/>
      <w:sz w:val="44"/>
    </w:rPr>
  </w:style>
  <w:style w:type="paragraph" w:styleId="4">
    <w:name w:val="heading 2"/>
    <w:basedOn w:val="1"/>
    <w:next w:val="1"/>
    <w:link w:val="23"/>
    <w:qFormat/>
    <w:uiPriority w:val="0"/>
    <w:pPr>
      <w:keepNext/>
      <w:keepLines/>
      <w:spacing w:before="260" w:afterLines="25" w:line="416" w:lineRule="auto"/>
      <w:outlineLvl w:val="1"/>
    </w:pPr>
    <w:rPr>
      <w:rFonts w:ascii="Arial" w:hAnsi="Arial" w:eastAsia="黑体"/>
      <w:b/>
      <w:bCs/>
      <w:kern w:val="0"/>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rFonts w:ascii="仿宋_GB2312"/>
      <w:sz w:val="28"/>
    </w:rPr>
  </w:style>
  <w:style w:type="paragraph" w:styleId="5">
    <w:name w:val="Normal Indent"/>
    <w:basedOn w:val="1"/>
    <w:qFormat/>
    <w:uiPriority w:val="0"/>
    <w:pPr>
      <w:autoSpaceDE w:val="0"/>
      <w:autoSpaceDN w:val="0"/>
      <w:adjustRightInd w:val="0"/>
      <w:ind w:firstLine="420"/>
      <w:jc w:val="left"/>
      <w:textAlignment w:val="baseline"/>
    </w:pPr>
    <w:rPr>
      <w:rFonts w:ascii="宋体" w:hAnsi="Verdana"/>
      <w:kern w:val="0"/>
      <w:sz w:val="34"/>
    </w:rPr>
  </w:style>
  <w:style w:type="paragraph" w:styleId="6">
    <w:name w:val="annotation text"/>
    <w:basedOn w:val="1"/>
    <w:qFormat/>
    <w:uiPriority w:val="0"/>
  </w:style>
  <w:style w:type="paragraph" w:styleId="7">
    <w:name w:val="Plain Text"/>
    <w:basedOn w:val="1"/>
    <w:link w:val="18"/>
    <w:qFormat/>
    <w:uiPriority w:val="0"/>
    <w:rPr>
      <w:rFonts w:ascii="宋体" w:hAnsi="Courier New"/>
      <w:szCs w:val="21"/>
    </w:rPr>
  </w:style>
  <w:style w:type="paragraph" w:styleId="8">
    <w:name w:val="Date"/>
    <w:basedOn w:val="1"/>
    <w:next w:val="1"/>
    <w:qFormat/>
    <w:uiPriority w:val="0"/>
    <w:pPr>
      <w:autoSpaceDE w:val="0"/>
      <w:autoSpaceDN w:val="0"/>
      <w:adjustRightInd w:val="0"/>
      <w:textAlignment w:val="baseline"/>
    </w:pPr>
    <w:rPr>
      <w:rFonts w:ascii="宋体"/>
      <w:kern w:val="0"/>
      <w:sz w:val="28"/>
    </w:rPr>
  </w:style>
  <w:style w:type="paragraph" w:styleId="9">
    <w:name w:val="Balloon Text"/>
    <w:basedOn w:val="1"/>
    <w:link w:val="27"/>
    <w:semiHidden/>
    <w:unhideWhenUsed/>
    <w:qFormat/>
    <w:uiPriority w:val="99"/>
    <w:rPr>
      <w:sz w:val="18"/>
      <w:szCs w:val="18"/>
    </w:rPr>
  </w:style>
  <w:style w:type="paragraph" w:styleId="10">
    <w:name w:val="footer"/>
    <w:basedOn w:val="1"/>
    <w:next w:val="11"/>
    <w:link w:val="22"/>
    <w:unhideWhenUsed/>
    <w:qFormat/>
    <w:uiPriority w:val="99"/>
    <w:pPr>
      <w:tabs>
        <w:tab w:val="center" w:pos="4153"/>
        <w:tab w:val="right" w:pos="8306"/>
      </w:tabs>
      <w:snapToGrid w:val="0"/>
      <w:jc w:val="left"/>
    </w:pPr>
    <w:rPr>
      <w:sz w:val="18"/>
      <w:szCs w:val="18"/>
    </w:rPr>
  </w:style>
  <w:style w:type="paragraph" w:customStyle="1" w:styleId="11">
    <w:name w:val="toc 31"/>
    <w:next w:val="1"/>
    <w:qFormat/>
    <w:uiPriority w:val="0"/>
    <w:pPr>
      <w:wordWrap w:val="0"/>
      <w:ind w:left="850"/>
      <w:jc w:val="both"/>
    </w:pPr>
    <w:rPr>
      <w:rFonts w:ascii="Times New Roman" w:hAnsi="Times New Roman" w:eastAsia="宋体" w:cs="Times New Roman"/>
      <w:sz w:val="21"/>
      <w:lang w:val="en-US" w:eastAsia="zh-CN" w:bidi="ar-SA"/>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widowControl/>
      <w:spacing w:before="100" w:beforeAutospacing="1" w:afterAutospacing="1"/>
      <w:jc w:val="left"/>
    </w:pPr>
    <w:rPr>
      <w:rFonts w:ascii="宋体" w:hAnsi="宋体"/>
      <w:color w:val="000000"/>
      <w:kern w:val="0"/>
      <w:sz w:val="18"/>
      <w:szCs w:val="20"/>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spacing w:val="0"/>
    </w:rPr>
  </w:style>
  <w:style w:type="character" w:customStyle="1" w:styleId="18">
    <w:name w:val="纯文本 字符"/>
    <w:basedOn w:val="16"/>
    <w:link w:val="7"/>
    <w:qFormat/>
    <w:uiPriority w:val="0"/>
    <w:rPr>
      <w:rFonts w:ascii="宋体" w:hAnsi="Courier New" w:eastAsia="宋体" w:cs="Times New Roman"/>
      <w:szCs w:val="21"/>
    </w:rPr>
  </w:style>
  <w:style w:type="character" w:customStyle="1" w:styleId="19">
    <w:name w:val="无间隔 字符"/>
    <w:link w:val="20"/>
    <w:qFormat/>
    <w:locked/>
    <w:uiPriority w:val="1"/>
    <w:rPr>
      <w:rFonts w:ascii="Calibri" w:hAnsi="Calibri"/>
      <w:sz w:val="22"/>
      <w:lang w:eastAsia="en-US" w:bidi="en-US"/>
    </w:rPr>
  </w:style>
  <w:style w:type="paragraph" w:styleId="20">
    <w:name w:val="No Spacing"/>
    <w:basedOn w:val="1"/>
    <w:link w:val="19"/>
    <w:qFormat/>
    <w:uiPriority w:val="1"/>
    <w:pPr>
      <w:widowControl/>
      <w:jc w:val="left"/>
    </w:pPr>
    <w:rPr>
      <w:rFonts w:ascii="Calibri" w:hAnsi="Calibri" w:eastAsiaTheme="minorEastAsia" w:cstheme="minorBidi"/>
      <w:sz w:val="22"/>
      <w:lang w:eastAsia="en-US" w:bidi="en-US"/>
    </w:rPr>
  </w:style>
  <w:style w:type="character" w:customStyle="1" w:styleId="21">
    <w:name w:val="页眉 字符"/>
    <w:basedOn w:val="16"/>
    <w:link w:val="12"/>
    <w:qFormat/>
    <w:uiPriority w:val="99"/>
    <w:rPr>
      <w:rFonts w:ascii="Times New Roman" w:hAnsi="Times New Roman" w:eastAsia="宋体" w:cs="Times New Roman"/>
      <w:sz w:val="18"/>
      <w:szCs w:val="18"/>
    </w:rPr>
  </w:style>
  <w:style w:type="character" w:customStyle="1" w:styleId="22">
    <w:name w:val="页脚 字符"/>
    <w:basedOn w:val="16"/>
    <w:link w:val="10"/>
    <w:qFormat/>
    <w:uiPriority w:val="99"/>
    <w:rPr>
      <w:rFonts w:ascii="Times New Roman" w:hAnsi="Times New Roman" w:eastAsia="宋体" w:cs="Times New Roman"/>
      <w:sz w:val="18"/>
      <w:szCs w:val="18"/>
    </w:rPr>
  </w:style>
  <w:style w:type="character" w:customStyle="1" w:styleId="23">
    <w:name w:val="标题 2 字符"/>
    <w:basedOn w:val="16"/>
    <w:link w:val="4"/>
    <w:qFormat/>
    <w:uiPriority w:val="0"/>
    <w:rPr>
      <w:rFonts w:ascii="Arial" w:hAnsi="Arial" w:eastAsia="黑体" w:cs="Times New Roman"/>
      <w:b/>
      <w:bCs/>
      <w:kern w:val="0"/>
      <w:sz w:val="32"/>
      <w:szCs w:val="32"/>
    </w:rPr>
  </w:style>
  <w:style w:type="paragraph" w:customStyle="1" w:styleId="24">
    <w:name w:val="修订1"/>
    <w:hidden/>
    <w:semiHidden/>
    <w:qFormat/>
    <w:uiPriority w:val="99"/>
    <w:rPr>
      <w:rFonts w:ascii="Times New Roman" w:hAnsi="Times New Roman" w:eastAsia="宋体" w:cs="Times New Roman"/>
      <w:kern w:val="2"/>
      <w:sz w:val="21"/>
      <w:szCs w:val="22"/>
      <w:lang w:val="en-US" w:eastAsia="zh-CN" w:bidi="ar-SA"/>
    </w:rPr>
  </w:style>
  <w:style w:type="character" w:customStyle="1" w:styleId="25">
    <w:name w:val="font51"/>
    <w:basedOn w:val="16"/>
    <w:qFormat/>
    <w:uiPriority w:val="0"/>
    <w:rPr>
      <w:rFonts w:hint="eastAsia" w:ascii="方正仿宋_GBK" w:hAnsi="方正仿宋_GBK" w:eastAsia="方正仿宋_GBK" w:cs="方正仿宋_GBK"/>
      <w:b/>
      <w:bCs/>
      <w:color w:val="000000"/>
      <w:sz w:val="20"/>
      <w:szCs w:val="20"/>
      <w:u w:val="none"/>
    </w:rPr>
  </w:style>
  <w:style w:type="paragraph" w:customStyle="1" w:styleId="26">
    <w:name w:val="样式 正文缩进 + 首行缩进:  2 字符"/>
    <w:basedOn w:val="5"/>
    <w:qFormat/>
    <w:uiPriority w:val="0"/>
    <w:pPr>
      <w:autoSpaceDE/>
      <w:autoSpaceDN/>
      <w:adjustRightInd/>
      <w:spacing w:before="160" w:after="160" w:line="360" w:lineRule="auto"/>
      <w:ind w:firstLine="480" w:firstLineChars="200"/>
      <w:jc w:val="both"/>
      <w:textAlignment w:val="auto"/>
    </w:pPr>
    <w:rPr>
      <w:kern w:val="2"/>
      <w:sz w:val="24"/>
      <w:szCs w:val="24"/>
    </w:rPr>
  </w:style>
  <w:style w:type="character" w:customStyle="1" w:styleId="27">
    <w:name w:val="批注框文本 字符"/>
    <w:basedOn w:val="16"/>
    <w:link w:val="9"/>
    <w:semiHidden/>
    <w:qFormat/>
    <w:uiPriority w:val="99"/>
    <w:rPr>
      <w:rFonts w:ascii="Times New Roman" w:hAnsi="Times New Roman" w:eastAsia="宋体" w:cs="Times New Roman"/>
      <w:kern w:val="2"/>
      <w:sz w:val="18"/>
      <w:szCs w:val="18"/>
    </w:rPr>
  </w:style>
  <w:style w:type="character" w:customStyle="1" w:styleId="28">
    <w:name w:val="fontstyle01"/>
    <w:basedOn w:val="16"/>
    <w:qFormat/>
    <w:uiPriority w:val="0"/>
    <w:rPr>
      <w:rFonts w:hint="eastAsia" w:ascii="宋体" w:hAnsi="宋体" w:eastAsia="宋体"/>
      <w:color w:val="000000"/>
      <w:sz w:val="22"/>
      <w:szCs w:val="22"/>
    </w:rPr>
  </w:style>
  <w:style w:type="paragraph" w:customStyle="1" w:styleId="29">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2072</Words>
  <Characters>2152</Characters>
  <Lines>19</Lines>
  <Paragraphs>5</Paragraphs>
  <TotalTime>5</TotalTime>
  <ScaleCrop>false</ScaleCrop>
  <LinksUpToDate>false</LinksUpToDate>
  <CharactersWithSpaces>2177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2022-03-29T12:29:00Z</dcterms:created>
  <dc:creator>Y XW</dc:creator>
  <cp:lastModifiedBy>李惠锋</cp:lastModifiedBy>
  <cp:lastPrinted>2025-11-02T23:06:00Z</cp:lastPrinted>
  <dcterms:modified xsi:type="dcterms:W3CDTF">2026-10-29T03:42:47Z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4E0DDC2BC75E41DAA863A211DBF835D9_13</vt:lpwstr>
  </property>
  <property fmtid="{D5CDD505-2E9C-101B-9397-08002B2CF9AE}" pid="4" name="KSOTemplateDocerSaveRecord">
    <vt:lpwstr>eyJoZGlkIjoiMmIyZTU3ZjAxNzFlYWRhMGI1YjY5ZWM3Nzk3ZWVkNTgiLCJ1c2VySWQiOiIxMDYwNTMyOTQ4In0=</vt:lpwstr>
  </property>
</Properties>
</file>