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cs="宋体"/>
          <w:b/>
          <w:sz w:val="44"/>
          <w:szCs w:val="44"/>
          <w:lang w:bidi="ar"/>
        </w:rPr>
      </w:pPr>
    </w:p>
    <w:p>
      <w:pPr>
        <w:jc w:val="center"/>
        <w:rPr>
          <w:rFonts w:hint="eastAsia" w:ascii="宋体" w:hAnsi="宋体" w:eastAsia="宋体" w:cs="宋体"/>
          <w:b/>
          <w:kern w:val="0"/>
          <w:sz w:val="44"/>
          <w:szCs w:val="44"/>
          <w:highlight w:val="none"/>
          <w:lang w:val="zh-CN"/>
        </w:rPr>
      </w:pPr>
      <w:r>
        <w:rPr>
          <w:rFonts w:hint="eastAsia" w:ascii="宋体" w:hAnsi="宋体" w:eastAsia="宋体" w:cs="宋体"/>
          <w:b/>
          <w:kern w:val="0"/>
          <w:sz w:val="44"/>
          <w:szCs w:val="44"/>
          <w:highlight w:val="none"/>
          <w:lang w:val="zh-CN"/>
        </w:rPr>
        <w:t>项目支出绩效自评报告</w:t>
      </w:r>
    </w:p>
    <w:p>
      <w:pPr>
        <w:jc w:val="center"/>
        <w:rPr>
          <w:rFonts w:ascii="宋体" w:hAnsi="宋体" w:cs="宋体"/>
          <w:b/>
          <w:sz w:val="44"/>
          <w:szCs w:val="44"/>
          <w:highlight w:val="none"/>
          <w:lang w:bidi="ar"/>
        </w:rPr>
      </w:pPr>
    </w:p>
    <w:p>
      <w:pPr>
        <w:jc w:val="center"/>
        <w:rPr>
          <w:rFonts w:ascii="宋体" w:hAnsi="宋体" w:cs="宋体"/>
          <w:b/>
          <w:sz w:val="44"/>
          <w:szCs w:val="44"/>
          <w:highlight w:val="none"/>
          <w:lang w:bidi="ar"/>
        </w:rPr>
      </w:pPr>
    </w:p>
    <w:p>
      <w:pPr>
        <w:jc w:val="center"/>
        <w:rPr>
          <w:rFonts w:ascii="宋体" w:hAnsi="宋体" w:cs="宋体"/>
          <w:b/>
          <w:sz w:val="44"/>
          <w:szCs w:val="44"/>
          <w:highlight w:val="none"/>
          <w:lang w:bidi="ar"/>
        </w:rPr>
      </w:pPr>
    </w:p>
    <w:p>
      <w:pPr>
        <w:jc w:val="center"/>
        <w:rPr>
          <w:rFonts w:ascii="宋体" w:hAnsi="宋体" w:cs="宋体"/>
          <w:b/>
          <w:sz w:val="44"/>
          <w:szCs w:val="44"/>
          <w:highlight w:val="none"/>
          <w:lang w:bidi="ar"/>
        </w:rPr>
      </w:pPr>
    </w:p>
    <w:p>
      <w:pPr>
        <w:jc w:val="center"/>
        <w:rPr>
          <w:rFonts w:ascii="宋体" w:hAnsi="宋体" w:cs="宋体"/>
          <w:b/>
          <w:sz w:val="44"/>
          <w:szCs w:val="44"/>
          <w:highlight w:val="none"/>
          <w:lang w:bidi="ar"/>
        </w:rPr>
      </w:pPr>
    </w:p>
    <w:p>
      <w:pPr>
        <w:jc w:val="center"/>
        <w:rPr>
          <w:rFonts w:ascii="宋体" w:hAnsi="宋体" w:cs="宋体"/>
          <w:b/>
          <w:sz w:val="44"/>
          <w:szCs w:val="44"/>
          <w:highlight w:val="none"/>
          <w:lang w:bidi="ar"/>
        </w:rPr>
      </w:pPr>
    </w:p>
    <w:p>
      <w:pPr>
        <w:jc w:val="center"/>
        <w:rPr>
          <w:rFonts w:ascii="宋体" w:hAnsi="宋体" w:cs="宋体"/>
          <w:b/>
          <w:sz w:val="44"/>
          <w:szCs w:val="44"/>
          <w:highlight w:val="none"/>
          <w:lang w:bidi="ar"/>
        </w:rPr>
      </w:pPr>
    </w:p>
    <w:p>
      <w:pPr>
        <w:jc w:val="center"/>
        <w:rPr>
          <w:rFonts w:ascii="宋体" w:hAnsi="宋体" w:cs="宋体"/>
          <w:b/>
          <w:sz w:val="44"/>
          <w:szCs w:val="44"/>
          <w:highlight w:val="none"/>
          <w:lang w:bidi="ar"/>
        </w:rPr>
      </w:pPr>
    </w:p>
    <w:p>
      <w:pPr>
        <w:jc w:val="center"/>
        <w:rPr>
          <w:rFonts w:ascii="宋体" w:hAnsi="宋体" w:cs="宋体"/>
          <w:b/>
          <w:sz w:val="44"/>
          <w:szCs w:val="44"/>
          <w:highlight w:val="none"/>
          <w:lang w:bidi="ar"/>
        </w:rPr>
      </w:pPr>
    </w:p>
    <w:p>
      <w:pPr>
        <w:jc w:val="center"/>
        <w:rPr>
          <w:rFonts w:ascii="宋体" w:hAnsi="宋体" w:cs="宋体"/>
          <w:b/>
          <w:sz w:val="44"/>
          <w:szCs w:val="44"/>
          <w:highlight w:val="none"/>
          <w:lang w:bidi="ar"/>
        </w:rPr>
      </w:pPr>
    </w:p>
    <w:p>
      <w:pPr>
        <w:jc w:val="left"/>
        <w:rPr>
          <w:rFonts w:hint="eastAsia" w:ascii="仿宋_GB2312" w:hAnsi="宋体" w:eastAsia="仿宋_GB2312" w:cs="宋体"/>
          <w:sz w:val="32"/>
          <w:szCs w:val="32"/>
          <w:highlight w:val="none"/>
          <w:lang w:eastAsia="zh-CN" w:bidi="ar"/>
        </w:rPr>
      </w:pPr>
      <w:r>
        <w:rPr>
          <w:rFonts w:hint="eastAsia" w:ascii="仿宋_GB2312" w:hAnsi="宋体" w:eastAsia="仿宋_GB2312" w:cs="宋体"/>
          <w:sz w:val="32"/>
          <w:szCs w:val="32"/>
          <w:highlight w:val="none"/>
          <w:lang w:bidi="ar"/>
        </w:rPr>
        <w:t>项目名称：</w:t>
      </w:r>
      <w:r>
        <w:rPr>
          <w:rFonts w:hint="eastAsia" w:ascii="仿宋_GB2312" w:hAnsi="宋体" w:eastAsia="仿宋_GB2312" w:cs="宋体"/>
          <w:sz w:val="32"/>
          <w:szCs w:val="32"/>
          <w:highlight w:val="none"/>
          <w:lang w:eastAsia="zh-CN" w:bidi="ar"/>
        </w:rPr>
        <w:t>水利事业发展资金</w:t>
      </w:r>
    </w:p>
    <w:p>
      <w:pPr>
        <w:jc w:val="left"/>
        <w:rPr>
          <w:rFonts w:hint="default" w:ascii="仿宋_GB2312" w:hAnsi="宋体" w:eastAsia="仿宋_GB2312" w:cs="宋体"/>
          <w:sz w:val="32"/>
          <w:szCs w:val="32"/>
          <w:highlight w:val="none"/>
          <w:lang w:bidi="ar"/>
        </w:rPr>
      </w:pPr>
      <w:r>
        <w:rPr>
          <w:rFonts w:hint="eastAsia" w:ascii="仿宋_GB2312" w:hAnsi="宋体" w:eastAsia="仿宋_GB2312" w:cs="宋体"/>
          <w:sz w:val="32"/>
          <w:szCs w:val="32"/>
          <w:highlight w:val="none"/>
          <w:lang w:eastAsia="zh-CN" w:bidi="ar"/>
        </w:rPr>
        <w:t>市级</w:t>
      </w:r>
      <w:r>
        <w:rPr>
          <w:rFonts w:hint="eastAsia" w:ascii="仿宋_GB2312" w:hAnsi="宋体" w:eastAsia="仿宋_GB2312" w:cs="宋体"/>
          <w:sz w:val="32"/>
          <w:szCs w:val="32"/>
          <w:highlight w:val="none"/>
          <w:lang w:bidi="ar"/>
        </w:rPr>
        <w:t>预算部门：</w:t>
      </w:r>
      <w:bookmarkStart w:id="0" w:name="_GoBack"/>
      <w:bookmarkEnd w:id="0"/>
      <w:r>
        <w:rPr>
          <w:rFonts w:hint="default" w:ascii="仿宋_GB2312" w:hAnsi="宋体" w:eastAsia="仿宋_GB2312" w:cs="宋体"/>
          <w:sz w:val="32"/>
          <w:szCs w:val="32"/>
          <w:highlight w:val="none"/>
          <w:lang w:bidi="ar"/>
        </w:rPr>
        <w:t>江门市水利局</w:t>
      </w:r>
    </w:p>
    <w:p>
      <w:pPr>
        <w:jc w:val="left"/>
        <w:rPr>
          <w:rFonts w:hint="default" w:ascii="仿宋_GB2312" w:hAnsi="宋体" w:eastAsia="仿宋_GB2312" w:cs="宋体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宋体" w:eastAsia="仿宋_GB2312" w:cs="宋体"/>
          <w:sz w:val="32"/>
          <w:szCs w:val="32"/>
          <w:highlight w:val="none"/>
          <w:lang w:bidi="ar"/>
        </w:rPr>
        <w:t>填报日期：</w:t>
      </w:r>
      <w:r>
        <w:rPr>
          <w:rFonts w:hint="eastAsia" w:ascii="仿宋_GB2312" w:hAnsi="宋体" w:eastAsia="仿宋_GB2312" w:cs="宋体"/>
          <w:sz w:val="32"/>
          <w:szCs w:val="32"/>
          <w:highlight w:val="none"/>
          <w:lang w:val="en-US" w:eastAsia="zh-CN" w:bidi="ar"/>
        </w:rPr>
        <w:t>2026.3.20</w:t>
      </w:r>
    </w:p>
    <w:p>
      <w:pPr>
        <w:ind w:firstLine="0" w:firstLineChars="0"/>
        <w:outlineLvl w:val="9"/>
        <w:rPr>
          <w:rFonts w:hint="eastAsia" w:ascii="仿宋_GB2312" w:hAnsi="Calibri" w:eastAsia="仿宋_GB2312" w:cs="仿宋_GB2312"/>
          <w:b/>
          <w:sz w:val="32"/>
          <w:szCs w:val="32"/>
          <w:highlight w:val="none"/>
          <w:lang w:bidi="ar"/>
        </w:rPr>
      </w:pPr>
      <w:r>
        <w:rPr>
          <w:rFonts w:hint="eastAsia" w:ascii="仿宋_GB2312" w:hAnsi="Calibri" w:eastAsia="仿宋_GB2312" w:cs="仿宋_GB2312"/>
          <w:b/>
          <w:sz w:val="32"/>
          <w:szCs w:val="32"/>
          <w:highlight w:val="none"/>
          <w:lang w:bidi="ar"/>
        </w:rPr>
        <w:br w:type="page"/>
      </w:r>
    </w:p>
    <w:p>
      <w:pPr>
        <w:ind w:firstLine="642" w:firstLineChars="200"/>
        <w:outlineLvl w:val="0"/>
        <w:rPr>
          <w:rFonts w:asci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Calibri" w:eastAsia="仿宋_GB2312" w:cs="仿宋_GB2312"/>
          <w:b/>
          <w:sz w:val="32"/>
          <w:szCs w:val="32"/>
          <w:highlight w:val="none"/>
          <w:lang w:bidi="ar"/>
        </w:rPr>
        <w:t>一、</w:t>
      </w:r>
      <w:r>
        <w:rPr>
          <w:rFonts w:hint="eastAsia" w:ascii="仿宋_GB2312" w:eastAsia="仿宋_GB2312" w:cs="仿宋_GB2312"/>
          <w:b/>
          <w:sz w:val="32"/>
          <w:szCs w:val="32"/>
          <w:highlight w:val="none"/>
          <w:lang w:bidi="ar"/>
        </w:rPr>
        <w:t>项目概况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为规范江门市水利局罚没收入资金管理与使用，严格执行罚没收入收支两条线管理要求，充分发挥罚没收入统筹保障作用，保障单位日常行政执法、监督检查等工作有序开展。根据财政资金管理相关规定，按照当年罚没收入情况统筹安排专项拨款，专项用于水利行政执法联合行动、执法设备运维、执法人员业务提升、执法快艇泊位租赁及油料保障等工作，确保各项监管执法任务落地落实、规范高效。2025 年该项目评价金额 0.08 万元，为市本级支出资金，专项保障水政执法相关工作开展。</w:t>
      </w:r>
    </w:p>
    <w:p>
      <w:pPr>
        <w:ind w:firstLine="642" w:firstLineChars="200"/>
        <w:outlineLvl w:val="0"/>
        <w:rPr>
          <w:rFonts w:ascii="仿宋_GB2312" w:eastAsia="仿宋_GB2312"/>
          <w:b/>
          <w:bCs/>
          <w:sz w:val="32"/>
          <w:highlight w:val="none"/>
        </w:rPr>
      </w:pPr>
      <w:r>
        <w:rPr>
          <w:rFonts w:hint="eastAsia" w:ascii="仿宋_GB2312" w:eastAsia="仿宋_GB2312"/>
          <w:b/>
          <w:bCs/>
          <w:sz w:val="32"/>
          <w:highlight w:val="none"/>
        </w:rPr>
        <w:t>二、项目组织实施情况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2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eastAsia="仿宋_GB2312"/>
          <w:b/>
          <w:bCs/>
          <w:sz w:val="32"/>
          <w:highlight w:val="none"/>
        </w:rPr>
        <w:t>（一）</w:t>
      </w:r>
      <w:r>
        <w:rPr>
          <w:rFonts w:hint="eastAsia" w:ascii="仿宋_GB2312" w:eastAsia="仿宋_GB2312"/>
          <w:b/>
          <w:bCs/>
          <w:sz w:val="32"/>
          <w:highlight w:val="none"/>
          <w:lang w:eastAsia="zh-CN"/>
        </w:rPr>
        <w:t>立项管理</w:t>
      </w:r>
      <w:r>
        <w:rPr>
          <w:rFonts w:hint="eastAsia" w:ascii="仿宋_GB2312" w:eastAsia="仿宋_GB2312"/>
          <w:b/>
          <w:bCs/>
          <w:sz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依据《中华人民共和国预算法》《罚没财物管理办法》及江门市市级财政资金使用管理相关规定，结合江门市水利局年度工作实际需求，经财政部门审批，设立罚没收入安排的拨款项目，明确资金可用于单位相关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  <w:t>工作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的合理经费开支。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2" w:firstLineChars="200"/>
        <w:jc w:val="left"/>
        <w:rPr>
          <w:rFonts w:ascii="仿宋_GB2312" w:eastAsia="仿宋_GB2312"/>
          <w:b/>
          <w:bCs/>
          <w:sz w:val="32"/>
          <w:highlight w:val="none"/>
        </w:rPr>
      </w:pPr>
      <w:r>
        <w:rPr>
          <w:rFonts w:hint="eastAsia" w:ascii="仿宋_GB2312" w:eastAsia="仿宋_GB2312"/>
          <w:b/>
          <w:bCs/>
          <w:sz w:val="32"/>
          <w:highlight w:val="none"/>
        </w:rPr>
        <w:t>（二）</w:t>
      </w:r>
      <w:r>
        <w:rPr>
          <w:rFonts w:hint="eastAsia" w:ascii="仿宋_GB2312" w:eastAsia="仿宋_GB2312"/>
          <w:b/>
          <w:bCs/>
          <w:sz w:val="32"/>
          <w:highlight w:val="none"/>
          <w:lang w:eastAsia="zh-CN"/>
        </w:rPr>
        <w:t>事项管理</w:t>
      </w:r>
      <w:r>
        <w:rPr>
          <w:rFonts w:hint="eastAsia" w:ascii="仿宋_GB2312" w:eastAsia="仿宋_GB2312"/>
          <w:b/>
          <w:bCs/>
          <w:sz w:val="32"/>
          <w:highlight w:val="none"/>
        </w:rPr>
        <w:t>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2025年度本项目罚没收入拨款资金实际使用资金800元，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  <w:t>主要用于支付出差伙食补助，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资金专款专用，无截留、挤占、挪用等情况，支出符合财政资金使用规范及差旅费管理相关标准。</w:t>
      </w:r>
    </w:p>
    <w:p>
      <w:pPr>
        <w:ind w:firstLine="642" w:firstLineChars="200"/>
        <w:outlineLvl w:val="0"/>
        <w:rPr>
          <w:rFonts w:ascii="仿宋_GB2312" w:eastAsia="仿宋_GB2312"/>
          <w:b/>
          <w:bCs/>
          <w:sz w:val="32"/>
          <w:highlight w:val="none"/>
        </w:rPr>
      </w:pPr>
      <w:r>
        <w:rPr>
          <w:rFonts w:hint="eastAsia" w:ascii="仿宋_GB2312" w:eastAsia="仿宋_GB2312"/>
          <w:b/>
          <w:bCs/>
          <w:sz w:val="32"/>
          <w:highlight w:val="none"/>
        </w:rPr>
        <w:t>三、项目绩效情况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</w:rPr>
        <w:t>（一）产出指标分析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eastAsia="zh-CN" w:bidi="ar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1.数量指标。联合执法专项行动次数：年度预期值 4 次，实际完成 7 次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  <w:t>;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群众水政相关法律条例宣传普及：年度预期值≥1 次，实际完成 2 次；执法设备维护保养：完成水政执法快艇、无人机维护保养各 1 次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  <w:t>。已完成所有数量指标。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  <w:t>2.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质量指标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  <w:t>。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水政监察执法能力：通过联合执法、业务提升等工作，执法能力较往年有所提升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  <w:t>。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水政执法人员工作设施设备安全：因执法快艇使用年限较长，装备易损耗，客观上难以实现零隐患、零故障，但整体设备安全水平较往年有所提升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left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3.时效指标。联合执法打击力度：全年联合各部门开展执法行动，对违法水事行为的打击响应速度、处置效率均有所提升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  <w:t>4.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成本指标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  <w:t>。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项目实际支出800元，严格控制在预算额度内，无超支、无浪费、无挤占挪用，成本管控到位，资金使用节约高效。</w:t>
      </w:r>
    </w:p>
    <w:p>
      <w:pPr>
        <w:ind w:firstLine="640" w:firstLineChars="200"/>
        <w:outlineLvl w:val="0"/>
        <w:rPr>
          <w:rFonts w:hint="eastAsia" w:ascii="仿宋_GB2312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</w:rPr>
        <w:t>（二）效果指标分析。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1.社会效益：依法打击非法采砂、违规取水等违法水事行为，有效维护水利生态环境秩序，完成预期目标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  <w:t>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both"/>
        <w:rPr>
          <w:rFonts w:hint="eastAsia" w:ascii="仿宋_GB2312" w:hAnsi="Times New Roman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  <w:t>2.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"/>
        </w:rPr>
        <w:t>满意度指标：通过资金保障执法工作开展、完善执法条件、提升执法能力，执法工作人员满意度达到≥95% 的预期目标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  <w:t>。</w:t>
      </w:r>
    </w:p>
    <w:p>
      <w:pPr>
        <w:ind w:firstLine="642" w:firstLineChars="200"/>
        <w:outlineLvl w:val="0"/>
        <w:rPr>
          <w:rFonts w:ascii="仿宋_GB2312" w:hAnsi="Calibri" w:eastAsia="仿宋_GB2312" w:cs="仿宋_GB2312"/>
          <w:b/>
          <w:sz w:val="32"/>
          <w:szCs w:val="32"/>
          <w:highlight w:val="none"/>
          <w:lang w:bidi="ar"/>
        </w:rPr>
      </w:pPr>
      <w:r>
        <w:rPr>
          <w:rFonts w:hint="eastAsia" w:ascii="仿宋_GB2312" w:eastAsia="仿宋_GB2312" w:cs="仿宋_GB2312"/>
          <w:b/>
          <w:sz w:val="32"/>
          <w:szCs w:val="32"/>
          <w:highlight w:val="none"/>
          <w:lang w:bidi="ar"/>
        </w:rPr>
        <w:t>四</w:t>
      </w:r>
      <w:r>
        <w:rPr>
          <w:rFonts w:hint="eastAsia" w:ascii="仿宋_GB2312" w:hAnsi="Calibri" w:eastAsia="仿宋_GB2312" w:cs="仿宋_GB2312"/>
          <w:b/>
          <w:sz w:val="32"/>
          <w:szCs w:val="32"/>
          <w:highlight w:val="none"/>
          <w:lang w:bidi="ar"/>
        </w:rPr>
        <w:t>、项目主要做法</w:t>
      </w:r>
      <w:r>
        <w:rPr>
          <w:rFonts w:hint="eastAsia" w:ascii="仿宋_GB2312" w:eastAsia="仿宋_GB2312" w:cs="仿宋_GB2312"/>
          <w:b/>
          <w:sz w:val="32"/>
          <w:szCs w:val="32"/>
          <w:highlight w:val="none"/>
          <w:lang w:bidi="ar"/>
        </w:rPr>
        <w:t>和</w:t>
      </w:r>
      <w:r>
        <w:rPr>
          <w:rFonts w:hint="eastAsia" w:ascii="仿宋_GB2312" w:hAnsi="Calibri" w:eastAsia="仿宋_GB2312" w:cs="仿宋_GB2312"/>
          <w:b/>
          <w:sz w:val="32"/>
          <w:szCs w:val="32"/>
          <w:highlight w:val="none"/>
          <w:lang w:bidi="ar"/>
        </w:rPr>
        <w:t>经验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  <w:t>1.严格资金审批：</w:t>
      </w:r>
      <w:r>
        <w:rPr>
          <w:rFonts w:hint="eastAsia" w:ascii="仿宋_GB2312" w:hAnsi="仿宋" w:eastAsia="仿宋_GB2312"/>
          <w:sz w:val="32"/>
          <w:szCs w:val="32"/>
        </w:rPr>
        <w:t>我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单位</w:t>
      </w:r>
      <w:r>
        <w:rPr>
          <w:rFonts w:hint="eastAsia" w:ascii="仿宋_GB2312" w:hAnsi="仿宋" w:eastAsia="仿宋_GB2312"/>
          <w:sz w:val="32"/>
          <w:szCs w:val="32"/>
        </w:rPr>
        <w:t>严格执行国家的有关法律法规和财务制度和市财政局的相关规定，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  <w:t>明确资金使用范围与标准，</w:t>
      </w:r>
      <w:r>
        <w:rPr>
          <w:rFonts w:hint="eastAsia" w:ascii="仿宋_GB2312" w:hAnsi="仿宋" w:eastAsia="仿宋_GB2312"/>
          <w:sz w:val="32"/>
          <w:szCs w:val="32"/>
        </w:rPr>
        <w:t>没有出现任何重大财政问题。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both"/>
        <w:rPr>
          <w:rFonts w:ascii="仿宋_GB2312" w:hAnsi="仿宋" w:eastAsia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  <w:t>2.</w:t>
      </w:r>
      <w:r>
        <w:rPr>
          <w:rFonts w:hint="eastAsia" w:ascii="仿宋_GB2312" w:hAnsi="仿宋" w:eastAsia="仿宋_GB2312"/>
          <w:sz w:val="32"/>
          <w:szCs w:val="32"/>
        </w:rPr>
        <w:t>绩效指标设置合理</w:t>
      </w:r>
      <w:r>
        <w:rPr>
          <w:rFonts w:hint="default" w:ascii="仿宋_GB2312" w:hAnsi="仿宋" w:eastAsia="仿宋_GB2312"/>
          <w:sz w:val="32"/>
          <w:szCs w:val="32"/>
        </w:rPr>
        <w:t>：</w:t>
      </w:r>
      <w:r>
        <w:rPr>
          <w:rFonts w:hint="eastAsia" w:ascii="仿宋_GB2312" w:hAnsi="仿宋" w:eastAsia="仿宋_GB2312"/>
          <w:sz w:val="32"/>
          <w:szCs w:val="32"/>
        </w:rPr>
        <w:t>结合项目实施实际情况细化和优化指标，有关指标解释及计算公式明晰、可量化，能较好地反映项目完成情况。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jc w:val="both"/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"/>
        </w:rPr>
        <w:t>3.贴合工作需求：资金精准用于水政执法出差保障，直接支撑一线工作开展，实现资金使用与业务需求高度匹配。</w:t>
      </w:r>
    </w:p>
    <w:p>
      <w:pPr>
        <w:ind w:firstLine="642" w:firstLineChars="200"/>
        <w:outlineLvl w:val="0"/>
        <w:rPr>
          <w:rFonts w:asci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eastAsia="仿宋_GB2312" w:cs="仿宋_GB2312"/>
          <w:b/>
          <w:sz w:val="32"/>
          <w:szCs w:val="32"/>
          <w:highlight w:val="none"/>
          <w:lang w:bidi="ar"/>
        </w:rPr>
        <w:t>五、</w:t>
      </w:r>
      <w:r>
        <w:rPr>
          <w:rFonts w:hint="eastAsia" w:ascii="仿宋_GB2312" w:hAnsi="Calibri" w:eastAsia="仿宋_GB2312" w:cs="仿宋_GB2312"/>
          <w:b/>
          <w:sz w:val="32"/>
          <w:szCs w:val="32"/>
          <w:highlight w:val="none"/>
          <w:lang w:bidi="ar"/>
        </w:rPr>
        <w:t>存在问题及建议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0" w:firstLineChars="200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</w:rPr>
        <w:t>（一）存在问题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both"/>
        <w:rPr>
          <w:rFonts w:hint="default" w:ascii="仿宋_GB2312" w:hAnsi="仿宋" w:eastAsia="仿宋_GB2312" w:cs="Times New Roman"/>
          <w:sz w:val="32"/>
          <w:szCs w:val="32"/>
        </w:rPr>
      </w:pPr>
      <w:r>
        <w:rPr>
          <w:rFonts w:hint="default" w:ascii="仿宋_GB2312" w:hAnsi="仿宋" w:eastAsia="仿宋_GB2312" w:cs="Times New Roman"/>
          <w:sz w:val="32"/>
          <w:szCs w:val="32"/>
        </w:rPr>
        <w:t>1.罚没收入安排拨款需要2025年度有罚没收入才可以安排，由于2025年度罚没收入入库时间比较晚，因为导致后期仅用于支付</w:t>
      </w:r>
      <w:r>
        <w:rPr>
          <w:rFonts w:ascii="仿宋_GB2312" w:hAnsi="仿宋" w:eastAsia="仿宋_GB2312" w:cs="Times New Roman"/>
          <w:sz w:val="32"/>
          <w:szCs w:val="32"/>
        </w:rPr>
        <w:t>出差伙食补助，金额数量较少。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default" w:ascii="仿宋_GB2312" w:hAnsi="仿宋" w:eastAsia="仿宋_GB2312" w:cs="Times New Roman"/>
          <w:sz w:val="32"/>
          <w:szCs w:val="32"/>
        </w:rPr>
        <w:t>2.</w:t>
      </w:r>
      <w:r>
        <w:rPr>
          <w:rFonts w:ascii="仿宋_GB2312" w:hAnsi="仿宋" w:eastAsia="仿宋_GB2312" w:cs="Times New Roman"/>
          <w:sz w:val="32"/>
          <w:szCs w:val="32"/>
        </w:rPr>
        <w:t>绩效指标体系较为简化，对资金使用效益的量化评价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</w:rPr>
        <w:t>不够细化。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"/>
        </w:rPr>
        <w:t>（二）改进措施或有关建议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both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仿宋" w:eastAsia="仿宋_GB2312" w:cs="Times New Roman"/>
          <w:sz w:val="32"/>
          <w:szCs w:val="32"/>
          <w:lang w:eastAsia="zh-CN"/>
        </w:rPr>
        <w:t>1.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结合年度水</w:t>
      </w:r>
      <w:r>
        <w:rPr>
          <w:rFonts w:hint="default" w:ascii="仿宋_GB2312" w:hAnsi="仿宋" w:eastAsia="仿宋_GB2312" w:cs="Times New Roman"/>
          <w:sz w:val="32"/>
          <w:szCs w:val="32"/>
          <w:lang w:eastAsia="zh-CN"/>
        </w:rPr>
        <w:t>政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执法工作实际需求，合理测算资金规模，适当拓宽资金使用范围，提升资金综合保障能力。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both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仿宋" w:eastAsia="仿宋_GB2312" w:cs="Times New Roman"/>
          <w:sz w:val="32"/>
          <w:szCs w:val="32"/>
          <w:lang w:eastAsia="zh-CN"/>
        </w:rPr>
        <w:t>2.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进一步细化绩效指标，增加量化评价内容，完善绩效评价体系，提升自评科学性与精准性。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both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仿宋" w:eastAsia="仿宋_GB2312" w:cs="Times New Roman"/>
          <w:sz w:val="32"/>
          <w:szCs w:val="32"/>
          <w:lang w:eastAsia="zh-CN"/>
        </w:rPr>
        <w:t>3.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持续强化资金全流程监管，定期开展资金使用自查，确保资金规范高效使用。</w:t>
      </w:r>
    </w:p>
    <w:p>
      <w:pPr>
        <w:ind w:firstLine="640" w:firstLineChars="200"/>
        <w:outlineLvl w:val="0"/>
        <w:rPr>
          <w:rFonts w:hint="eastAsia" w:ascii="仿宋_GB2312" w:hAnsi="Calibri" w:eastAsia="仿宋_GB2312" w:cs="仿宋_GB2312"/>
          <w:sz w:val="32"/>
          <w:szCs w:val="32"/>
          <w:lang w:eastAsia="zh-CN" w:bidi="ar"/>
        </w:rPr>
      </w:pPr>
      <w:r>
        <w:rPr>
          <w:rFonts w:hint="eastAsia" w:ascii="仿宋_GB2312" w:hAnsi="Calibri" w:eastAsia="仿宋_GB2312" w:cs="仿宋_GB2312"/>
          <w:sz w:val="32"/>
          <w:szCs w:val="32"/>
          <w:lang w:eastAsia="zh-CN" w:bidi="ar"/>
        </w:rPr>
        <w:t>（三）到期资金需测算</w:t>
      </w:r>
      <w:r>
        <w:rPr>
          <w:rFonts w:hint="default" w:ascii="仿宋_GB2312" w:hAnsi="Calibri" w:eastAsia="仿宋_GB2312" w:cs="仿宋_GB2312"/>
          <w:sz w:val="32"/>
          <w:szCs w:val="32"/>
          <w:lang w:eastAsia="zh-CN" w:bidi="ar"/>
        </w:rPr>
        <w:t>（</w:t>
      </w:r>
      <w:r>
        <w:rPr>
          <w:rFonts w:hint="eastAsia" w:ascii="仿宋_GB2312" w:hAnsi="Calibri" w:eastAsia="仿宋_GB2312" w:cs="仿宋_GB2312"/>
          <w:sz w:val="32"/>
          <w:szCs w:val="32"/>
          <w:lang w:eastAsia="zh-CN" w:bidi="ar"/>
        </w:rPr>
        <w:t>20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 w:bidi="ar"/>
        </w:rPr>
        <w:t>27</w:t>
      </w:r>
      <w:r>
        <w:rPr>
          <w:rFonts w:hint="eastAsia" w:ascii="仿宋_GB2312" w:hAnsi="Calibri" w:eastAsia="仿宋_GB2312" w:cs="仿宋_GB2312"/>
          <w:sz w:val="32"/>
          <w:szCs w:val="32"/>
          <w:lang w:eastAsia="zh-CN" w:bidi="ar"/>
        </w:rPr>
        <w:t>年及后续年度</w:t>
      </w:r>
      <w:r>
        <w:rPr>
          <w:rFonts w:hint="default" w:ascii="仿宋_GB2312" w:hAnsi="Calibri" w:eastAsia="仿宋_GB2312" w:cs="仿宋_GB2312"/>
          <w:sz w:val="32"/>
          <w:szCs w:val="32"/>
          <w:lang w:eastAsia="zh-CN" w:bidi="ar"/>
        </w:rPr>
        <w:t>）</w:t>
      </w:r>
      <w:r>
        <w:rPr>
          <w:rFonts w:hint="eastAsia" w:ascii="仿宋_GB2312" w:hAnsi="Calibri" w:eastAsia="仿宋_GB2312" w:cs="仿宋_GB2312"/>
          <w:sz w:val="32"/>
          <w:szCs w:val="32"/>
          <w:lang w:eastAsia="zh-CN" w:bidi="ar"/>
        </w:rPr>
        <w:t>资金需求情况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both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default" w:ascii="仿宋_GB2312" w:hAnsi="仿宋" w:eastAsia="仿宋_GB2312" w:cs="Times New Roman"/>
          <w:sz w:val="32"/>
          <w:szCs w:val="32"/>
          <w:lang w:eastAsia="zh-CN"/>
        </w:rPr>
        <w:t>1.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测算依据：依据《中华人民共和国预算法》《罚没财物管理办法》、江门市财政资金管理规定及年度行政执法、监督检查工作规划。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both"/>
        <w:rPr>
          <w:rFonts w:hint="default" w:ascii="仿宋_GB2312" w:hAnsi="仿宋" w:eastAsia="仿宋_GB2312" w:cs="Times New Roman"/>
          <w:sz w:val="32"/>
          <w:szCs w:val="32"/>
          <w:lang w:eastAsia="zh-CN"/>
        </w:rPr>
      </w:pPr>
      <w:r>
        <w:rPr>
          <w:rFonts w:hint="default" w:ascii="仿宋_GB2312" w:hAnsi="仿宋" w:eastAsia="仿宋_GB2312" w:cs="Times New Roman"/>
          <w:sz w:val="32"/>
          <w:szCs w:val="32"/>
          <w:lang w:eastAsia="zh-CN"/>
        </w:rPr>
        <w:t>2.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测算明细：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预计</w:t>
      </w:r>
      <w:r>
        <w:rPr>
          <w:rFonts w:hint="default" w:ascii="仿宋_GB2312" w:hAnsi="仿宋" w:eastAsia="仿宋_GB2312" w:cs="Times New Roman"/>
          <w:sz w:val="32"/>
          <w:szCs w:val="32"/>
          <w:lang w:eastAsia="zh-CN"/>
        </w:rPr>
        <w:t>2026年及后续年度，每年罚没收入约100000元，按实际工作情况进行资金申请。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ind w:firstLine="640" w:firstLineChars="200"/>
        <w:jc w:val="both"/>
        <w:rPr>
          <w:rFonts w:hint="eastAsia" w:ascii="仿宋_GB2312" w:hAnsi="Calibri" w:eastAsia="仿宋_GB2312" w:cs="仿宋_GB2312"/>
          <w:sz w:val="32"/>
          <w:szCs w:val="32"/>
          <w:lang w:eastAsia="zh-CN" w:bidi="ar"/>
        </w:rPr>
      </w:pPr>
      <w:r>
        <w:rPr>
          <w:rFonts w:hint="default" w:ascii="仿宋_GB2312" w:hAnsi="仿宋" w:eastAsia="仿宋_GB2312" w:cs="Times New Roman"/>
          <w:sz w:val="32"/>
          <w:szCs w:val="32"/>
          <w:lang w:eastAsia="zh-CN"/>
        </w:rPr>
        <w:t>3.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说明：该资金为水利执法工作基本保障资金，需持续安排以确保行政执法、现场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监督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核查等工作正常开展。</w:t>
      </w:r>
    </w:p>
    <w:p>
      <w:pPr>
        <w:ind w:firstLine="642" w:firstLineChars="200"/>
        <w:outlineLvl w:val="0"/>
        <w:rPr>
          <w:rFonts w:hint="eastAsia" w:ascii="仿宋_GB2312" w:eastAsia="仿宋_GB2312"/>
          <w:b/>
          <w:bCs/>
          <w:sz w:val="32"/>
          <w:highlight w:val="none"/>
        </w:rPr>
      </w:pPr>
      <w:r>
        <w:rPr>
          <w:rFonts w:hint="eastAsia" w:ascii="仿宋_GB2312" w:eastAsia="仿宋_GB2312"/>
          <w:b/>
          <w:bCs/>
          <w:sz w:val="32"/>
          <w:highlight w:val="none"/>
        </w:rPr>
        <w:t>六、项目自评结论及得分</w:t>
      </w:r>
    </w:p>
    <w:p>
      <w:pPr>
        <w:ind w:firstLine="640" w:firstLineChars="200"/>
        <w:outlineLvl w:val="0"/>
        <w:rPr>
          <w:rFonts w:hint="eastAsia" w:ascii="仿宋_GB2312" w:hAnsi="Calibri" w:eastAsia="仿宋_GB2312" w:cs="仿宋_GB2312"/>
          <w:sz w:val="32"/>
          <w:szCs w:val="32"/>
          <w:lang w:eastAsia="zh-CN" w:bidi="ar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 w:bidi="ar"/>
        </w:rPr>
        <w:t>本项目立项依据充分、资金管理规范、使用合规，专款专用无违规情况，有效保障水政执法、现场</w:t>
      </w:r>
      <w:r>
        <w:rPr>
          <w:rFonts w:hint="default" w:ascii="仿宋_GB2312" w:hAnsi="Calibri" w:eastAsia="仿宋_GB2312" w:cs="仿宋_GB2312"/>
          <w:sz w:val="32"/>
          <w:szCs w:val="32"/>
          <w:lang w:eastAsia="zh-CN" w:bidi="ar"/>
        </w:rPr>
        <w:t>监督检查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 w:bidi="ar"/>
        </w:rPr>
        <w:t>等工作开展，较好完成年度绩效目标，资金使用效益良好。</w:t>
      </w:r>
    </w:p>
    <w:p>
      <w:pPr>
        <w:ind w:firstLine="640" w:firstLineChars="200"/>
        <w:outlineLvl w:val="0"/>
        <w:rPr>
          <w:rFonts w:hint="eastAsia" w:ascii="仿宋_GB2312" w:hAnsi="Calibri" w:eastAsia="仿宋_GB2312" w:cs="仿宋_GB2312"/>
          <w:sz w:val="32"/>
          <w:szCs w:val="32"/>
          <w:lang w:val="en-US" w:eastAsia="zh-CN" w:bidi="ar"/>
        </w:rPr>
      </w:pPr>
      <w:r>
        <w:rPr>
          <w:rFonts w:hint="eastAsia" w:ascii="仿宋_GB2312" w:hAnsi="Calibri" w:eastAsia="仿宋_GB2312" w:cs="仿宋_GB2312"/>
          <w:sz w:val="32"/>
          <w:szCs w:val="32"/>
          <w:lang w:val="en-US" w:eastAsia="zh-CN" w:bidi="ar"/>
        </w:rPr>
        <w:t>项目综合自评得分：</w:t>
      </w:r>
      <w:r>
        <w:rPr>
          <w:rFonts w:hint="default" w:ascii="仿宋_GB2312" w:hAnsi="Calibri" w:eastAsia="仿宋_GB2312" w:cs="仿宋_GB2312"/>
          <w:sz w:val="32"/>
          <w:szCs w:val="32"/>
          <w:lang w:eastAsia="zh-CN" w:bidi="ar"/>
        </w:rPr>
        <w:t>99.8</w:t>
      </w:r>
      <w:r>
        <w:rPr>
          <w:rFonts w:hint="eastAsia" w:ascii="仿宋_GB2312" w:hAnsi="Calibri" w:eastAsia="仿宋_GB2312" w:cs="仿宋_GB2312"/>
          <w:sz w:val="32"/>
          <w:szCs w:val="32"/>
          <w:lang w:val="en-US" w:eastAsia="zh-CN" w:bidi="ar"/>
        </w:rPr>
        <w:t>分</w:t>
      </w:r>
    </w:p>
    <w:p>
      <w:pPr>
        <w:ind w:firstLine="642" w:firstLineChars="200"/>
        <w:outlineLvl w:val="0"/>
        <w:rPr>
          <w:rFonts w:hint="eastAsia" w:ascii="仿宋_GB2312" w:eastAsia="仿宋_GB2312"/>
          <w:b/>
          <w:bCs/>
          <w:sz w:val="32"/>
          <w:highlight w:val="none"/>
        </w:rPr>
      </w:pPr>
    </w:p>
    <w:p/>
    <w:p/>
    <w:p>
      <w:pPr>
        <w:ind w:firstLine="640" w:firstLineChars="200"/>
        <w:rPr>
          <w:rFonts w:ascii="仿宋_GB2312" w:eastAsia="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WAAAAZHJzL1BLAQIUABQAAAAIAIdO4kCzSVju0AAAAAUBAAAP&#10;AAAAAAAAAAEAIAAAADgAAABkcnMvZG93bnJldi54bWxQSwECFAAUAAAACACHTuJAdTUoc9EBAACi&#10;AwAADgAAAAAAAAABACAAAAA1AQAAZHJzL2Uyb0RvYy54bWxQSwUGAAAAAAYABgBZAQAAe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C85"/>
    <w:rsid w:val="00036540"/>
    <w:rsid w:val="0016372C"/>
    <w:rsid w:val="001F6FDF"/>
    <w:rsid w:val="00263A5D"/>
    <w:rsid w:val="00387963"/>
    <w:rsid w:val="004C51C6"/>
    <w:rsid w:val="0050024C"/>
    <w:rsid w:val="00507990"/>
    <w:rsid w:val="008324F9"/>
    <w:rsid w:val="00875F85"/>
    <w:rsid w:val="00A04D5C"/>
    <w:rsid w:val="00D247CF"/>
    <w:rsid w:val="00DB0C85"/>
    <w:rsid w:val="00DF09EA"/>
    <w:rsid w:val="00E54D36"/>
    <w:rsid w:val="00F132F1"/>
    <w:rsid w:val="00F61ADD"/>
    <w:rsid w:val="0EDDB229"/>
    <w:rsid w:val="0FFB630D"/>
    <w:rsid w:val="3EFD455F"/>
    <w:rsid w:val="4FEDAEB8"/>
    <w:rsid w:val="4FFFE084"/>
    <w:rsid w:val="57DB24B8"/>
    <w:rsid w:val="5EE64F21"/>
    <w:rsid w:val="7AAFF944"/>
    <w:rsid w:val="7DDD792E"/>
    <w:rsid w:val="7FE910CA"/>
    <w:rsid w:val="7FF7CA52"/>
    <w:rsid w:val="84F6AA45"/>
    <w:rsid w:val="9AEDCD91"/>
    <w:rsid w:val="AFFB5A29"/>
    <w:rsid w:val="BDFCAE38"/>
    <w:rsid w:val="DABE3582"/>
    <w:rsid w:val="E8AFE6D1"/>
    <w:rsid w:val="EF3DA32B"/>
    <w:rsid w:val="F7A77222"/>
    <w:rsid w:val="F7AF44C4"/>
    <w:rsid w:val="F9FBE439"/>
    <w:rsid w:val="FCFB54ED"/>
    <w:rsid w:val="FF3EDA66"/>
    <w:rsid w:val="FF67AD20"/>
    <w:rsid w:val="FFFAF96B"/>
    <w:rsid w:val="FFFBD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Char"/>
    <w:basedOn w:val="7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91</Words>
  <Characters>519</Characters>
  <Lines>4</Lines>
  <Paragraphs>1</Paragraphs>
  <TotalTime>1</TotalTime>
  <ScaleCrop>false</ScaleCrop>
  <LinksUpToDate>false</LinksUpToDate>
  <CharactersWithSpaces>609</CharactersWithSpaces>
  <Application>WPS Office_11.8.2.11961_F1E327BC-269C-435d-A152-05C5408002CA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2022-04-12T22:59:00Z</dcterms:created>
  <dc:creator>李晓蕾</dc:creator>
  <cp:lastModifiedBy>罗霭靖</cp:lastModifiedBy>
  <dcterms:modified xsi:type="dcterms:W3CDTF">2026-10-29T09:34:27Z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2052-11.8.2.11961</vt:lpwstr>
  </property>
  <property fmtid="{D5CDD505-2E9C-101B-9397-08002B2CF9AE}" pid="3" name="ICV">
    <vt:lpwstr>9ED0DD51808CCA4D5AE2A769EF3C2E53</vt:lpwstr>
  </property>
</Properties>
</file>