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2A740">
      <w:pPr>
        <w:autoSpaceDE w:val="0"/>
        <w:autoSpaceDN w:val="0"/>
        <w:adjustRightInd w:val="0"/>
        <w:jc w:val="left"/>
        <w:outlineLvl w:val="0"/>
        <w:rPr>
          <w:rFonts w:hint="default" w:eastAsia="黑体"/>
          <w:color w:val="auto"/>
          <w:kern w:val="0"/>
          <w:sz w:val="32"/>
          <w:szCs w:val="32"/>
          <w:highlight w:val="none"/>
          <w:lang w:val="en-US" w:eastAsia="zh-CN"/>
        </w:rPr>
      </w:pPr>
      <w:r>
        <w:rPr>
          <w:rFonts w:eastAsia="黑体"/>
          <w:color w:val="auto"/>
          <w:kern w:val="0"/>
          <w:sz w:val="32"/>
          <w:szCs w:val="32"/>
          <w:highlight w:val="none"/>
        </w:rPr>
        <w:t>附件</w:t>
      </w:r>
      <w:r>
        <w:rPr>
          <w:rFonts w:hint="eastAsia" w:eastAsia="黑体"/>
          <w:color w:val="auto"/>
          <w:kern w:val="0"/>
          <w:sz w:val="32"/>
          <w:szCs w:val="32"/>
          <w:highlight w:val="none"/>
          <w:lang w:val="en-US" w:eastAsia="zh-CN"/>
        </w:rPr>
        <w:t>2</w:t>
      </w:r>
    </w:p>
    <w:p w14:paraId="760AAFE8">
      <w:pPr>
        <w:autoSpaceDE w:val="0"/>
        <w:autoSpaceDN w:val="0"/>
        <w:adjustRightInd w:val="0"/>
        <w:snapToGrid w:val="0"/>
        <w:spacing w:line="579" w:lineRule="exact"/>
        <w:jc w:val="center"/>
        <w:rPr>
          <w:rFonts w:hint="eastAsia" w:ascii="黑体" w:hAnsi="黑体" w:eastAsia="黑体" w:cs="宋体"/>
          <w:color w:val="auto"/>
          <w:kern w:val="0"/>
          <w:sz w:val="40"/>
          <w:szCs w:val="40"/>
          <w:highlight w:val="none"/>
        </w:rPr>
      </w:pPr>
      <w:bookmarkStart w:id="0" w:name="OLE_LINK3"/>
      <w:r>
        <w:rPr>
          <w:rFonts w:hint="eastAsia" w:ascii="黑体" w:hAnsi="黑体" w:eastAsia="黑体" w:cs="方正小标宋简体"/>
          <w:color w:val="auto"/>
          <w:kern w:val="0"/>
          <w:sz w:val="40"/>
          <w:szCs w:val="40"/>
          <w:highlight w:val="none"/>
        </w:rPr>
        <w:t>台山市省考公义断面地表水水质自动监测站位置调整可行性论证咨询服务项目</w:t>
      </w:r>
      <w:bookmarkEnd w:id="0"/>
      <w:r>
        <w:rPr>
          <w:rFonts w:hint="eastAsia" w:ascii="黑体" w:hAnsi="黑体" w:eastAsia="黑体" w:cs="宋体"/>
          <w:color w:val="auto"/>
          <w:kern w:val="0"/>
          <w:sz w:val="40"/>
          <w:szCs w:val="40"/>
          <w:highlight w:val="none"/>
        </w:rPr>
        <w:t>评分表</w:t>
      </w:r>
    </w:p>
    <w:tbl>
      <w:tblPr>
        <w:tblStyle w:val="6"/>
        <w:tblW w:w="10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073"/>
        <w:gridCol w:w="7481"/>
        <w:gridCol w:w="709"/>
        <w:gridCol w:w="709"/>
      </w:tblGrid>
      <w:tr w14:paraId="3825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91" w:type="dxa"/>
            <w:vAlign w:val="center"/>
          </w:tcPr>
          <w:p w14:paraId="41BC614A">
            <w:pPr>
              <w:autoSpaceDE w:val="0"/>
              <w:autoSpaceDN w:val="0"/>
              <w:adjustRightInd w:val="0"/>
              <w:snapToGrid w:val="0"/>
              <w:spacing w:line="264" w:lineRule="auto"/>
              <w:ind w:left="-111" w:leftChars="-37" w:right="-105" w:rightChars="-35"/>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序号</w:t>
            </w:r>
          </w:p>
        </w:tc>
        <w:tc>
          <w:tcPr>
            <w:tcW w:w="1073" w:type="dxa"/>
            <w:vAlign w:val="center"/>
          </w:tcPr>
          <w:p w14:paraId="63D364BB">
            <w:pPr>
              <w:autoSpaceDE w:val="0"/>
              <w:autoSpaceDN w:val="0"/>
              <w:adjustRightInd w:val="0"/>
              <w:snapToGrid w:val="0"/>
              <w:spacing w:line="264" w:lineRule="auto"/>
              <w:ind w:left="-111" w:leftChars="-37" w:right="-105" w:rightChars="-35"/>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评审因素</w:t>
            </w:r>
          </w:p>
        </w:tc>
        <w:tc>
          <w:tcPr>
            <w:tcW w:w="7481" w:type="dxa"/>
            <w:vAlign w:val="center"/>
          </w:tcPr>
          <w:p w14:paraId="6B38B7A2">
            <w:pPr>
              <w:autoSpaceDE w:val="0"/>
              <w:autoSpaceDN w:val="0"/>
              <w:adjustRightInd w:val="0"/>
              <w:snapToGrid w:val="0"/>
              <w:spacing w:line="264" w:lineRule="auto"/>
              <w:ind w:left="-111" w:leftChars="-37" w:right="-105" w:rightChars="-35"/>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评分细则</w:t>
            </w:r>
          </w:p>
        </w:tc>
        <w:tc>
          <w:tcPr>
            <w:tcW w:w="709" w:type="dxa"/>
            <w:vAlign w:val="center"/>
          </w:tcPr>
          <w:p w14:paraId="54A3A0A6">
            <w:pPr>
              <w:autoSpaceDE w:val="0"/>
              <w:autoSpaceDN w:val="0"/>
              <w:adjustRightInd w:val="0"/>
              <w:snapToGrid w:val="0"/>
              <w:spacing w:line="264" w:lineRule="auto"/>
              <w:ind w:left="-111" w:leftChars="-37" w:right="-105" w:rightChars="-35"/>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rPr>
              <w:t>分值（分）</w:t>
            </w:r>
          </w:p>
        </w:tc>
        <w:tc>
          <w:tcPr>
            <w:tcW w:w="709" w:type="dxa"/>
            <w:vAlign w:val="center"/>
          </w:tcPr>
          <w:p w14:paraId="594AE79A">
            <w:pPr>
              <w:autoSpaceDE w:val="0"/>
              <w:autoSpaceDN w:val="0"/>
              <w:adjustRightInd w:val="0"/>
              <w:snapToGrid w:val="0"/>
              <w:spacing w:line="264" w:lineRule="auto"/>
              <w:ind w:left="-111" w:leftChars="-37" w:right="-105" w:rightChars="-35"/>
              <w:jc w:val="center"/>
              <w:rPr>
                <w:rFonts w:ascii="宋体" w:hAnsi="宋体" w:cs="宋体"/>
                <w:b/>
                <w:color w:val="auto"/>
                <w:kern w:val="0"/>
                <w:sz w:val="21"/>
                <w:szCs w:val="21"/>
                <w:highlight w:val="none"/>
              </w:rPr>
            </w:pPr>
            <w:r>
              <w:rPr>
                <w:rFonts w:hint="eastAsia" w:ascii="宋体" w:hAnsi="宋体" w:cs="宋体"/>
                <w:b/>
                <w:color w:val="auto"/>
                <w:kern w:val="0"/>
                <w:sz w:val="21"/>
                <w:szCs w:val="21"/>
                <w:highlight w:val="none"/>
                <w:lang w:val="en-US" w:eastAsia="zh-CN"/>
              </w:rPr>
              <w:t>得分</w:t>
            </w:r>
            <w:r>
              <w:rPr>
                <w:rFonts w:hint="eastAsia" w:ascii="宋体" w:hAnsi="宋体" w:cs="宋体"/>
                <w:b/>
                <w:color w:val="auto"/>
                <w:kern w:val="0"/>
                <w:sz w:val="21"/>
                <w:szCs w:val="21"/>
                <w:highlight w:val="none"/>
              </w:rPr>
              <w:t>（</w:t>
            </w:r>
            <w:r>
              <w:rPr>
                <w:rFonts w:hint="eastAsia" w:ascii="宋体" w:hAnsi="宋体" w:cs="宋体"/>
                <w:b/>
                <w:color w:val="auto"/>
                <w:kern w:val="0"/>
                <w:sz w:val="21"/>
                <w:szCs w:val="21"/>
                <w:highlight w:val="none"/>
                <w:lang w:val="en-US" w:eastAsia="zh-CN"/>
              </w:rPr>
              <w:t>分</w:t>
            </w:r>
            <w:r>
              <w:rPr>
                <w:rFonts w:hint="eastAsia" w:ascii="宋体" w:hAnsi="宋体" w:cs="宋体"/>
                <w:b/>
                <w:color w:val="auto"/>
                <w:kern w:val="0"/>
                <w:sz w:val="21"/>
                <w:szCs w:val="21"/>
                <w:highlight w:val="none"/>
              </w:rPr>
              <w:t>）</w:t>
            </w:r>
          </w:p>
        </w:tc>
      </w:tr>
      <w:tr w14:paraId="49117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0663" w:type="dxa"/>
            <w:gridSpan w:val="5"/>
            <w:vAlign w:val="center"/>
          </w:tcPr>
          <w:p w14:paraId="4282FB9F">
            <w:pPr>
              <w:autoSpaceDE w:val="0"/>
              <w:autoSpaceDN w:val="0"/>
              <w:adjustRightInd w:val="0"/>
              <w:snapToGrid w:val="0"/>
              <w:spacing w:line="240" w:lineRule="auto"/>
              <w:ind w:left="-111" w:leftChars="-37" w:right="-105" w:rightChars="-35"/>
              <w:jc w:val="center"/>
              <w:rPr>
                <w:rFonts w:ascii="宋体" w:hAnsi="宋体" w:cs="宋体"/>
                <w:b/>
                <w:color w:val="auto"/>
                <w:kern w:val="0"/>
                <w:sz w:val="18"/>
                <w:szCs w:val="18"/>
                <w:highlight w:val="none"/>
              </w:rPr>
            </w:pPr>
            <w:r>
              <w:rPr>
                <w:rFonts w:hint="eastAsia" w:ascii="宋体" w:hAnsi="宋体" w:cs="宋体"/>
                <w:b/>
                <w:color w:val="auto"/>
                <w:kern w:val="0"/>
                <w:sz w:val="21"/>
                <w:szCs w:val="21"/>
                <w:highlight w:val="none"/>
              </w:rPr>
              <w:t>一、技术部分 （</w:t>
            </w:r>
            <w:r>
              <w:rPr>
                <w:rFonts w:hint="eastAsia" w:ascii="宋体" w:hAnsi="宋体" w:cs="宋体"/>
                <w:b/>
                <w:color w:val="auto"/>
                <w:kern w:val="0"/>
                <w:sz w:val="21"/>
                <w:szCs w:val="21"/>
                <w:highlight w:val="none"/>
                <w:lang w:val="en-US" w:eastAsia="zh-CN"/>
              </w:rPr>
              <w:t>40</w:t>
            </w:r>
            <w:r>
              <w:rPr>
                <w:rFonts w:hint="eastAsia" w:ascii="宋体" w:hAnsi="宋体" w:cs="宋体"/>
                <w:b/>
                <w:color w:val="auto"/>
                <w:kern w:val="0"/>
                <w:sz w:val="21"/>
                <w:szCs w:val="21"/>
                <w:highlight w:val="none"/>
              </w:rPr>
              <w:t>分）</w:t>
            </w:r>
          </w:p>
        </w:tc>
      </w:tr>
      <w:tr w14:paraId="6E99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91" w:type="dxa"/>
            <w:vAlign w:val="center"/>
          </w:tcPr>
          <w:p w14:paraId="1C35AC9A">
            <w:pPr>
              <w:spacing w:line="240" w:lineRule="auto"/>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w:t>
            </w:r>
          </w:p>
        </w:tc>
        <w:tc>
          <w:tcPr>
            <w:tcW w:w="1073" w:type="dxa"/>
            <w:shd w:val="clear" w:color="auto" w:fill="auto"/>
            <w:vAlign w:val="center"/>
          </w:tcPr>
          <w:p w14:paraId="06D1FCE8">
            <w:pPr>
              <w:keepNext w:val="0"/>
              <w:keepLines w:val="0"/>
              <w:widowControl/>
              <w:suppressLineNumbers w:val="0"/>
              <w:jc w:val="center"/>
              <w:rPr>
                <w:color w:val="auto"/>
                <w:sz w:val="22"/>
                <w:szCs w:val="22"/>
              </w:rPr>
            </w:pPr>
            <w:r>
              <w:rPr>
                <w:rFonts w:ascii="宋体" w:hAnsi="宋体" w:eastAsia="宋体" w:cs="宋体"/>
                <w:color w:val="auto"/>
                <w:kern w:val="0"/>
                <w:sz w:val="22"/>
                <w:szCs w:val="22"/>
                <w:lang w:val="en-US" w:eastAsia="zh-CN" w:bidi="ar"/>
              </w:rPr>
              <w:t>技术服务方案</w:t>
            </w:r>
          </w:p>
          <w:p w14:paraId="4CCCEFB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2"/>
                <w:szCs w:val="22"/>
                <w:highlight w:val="none"/>
                <w:lang w:val="en-US" w:eastAsia="zh-CN"/>
              </w:rPr>
            </w:pPr>
          </w:p>
        </w:tc>
        <w:tc>
          <w:tcPr>
            <w:tcW w:w="7481" w:type="dxa"/>
            <w:shd w:val="clear" w:color="auto" w:fill="auto"/>
            <w:vAlign w:val="center"/>
          </w:tcPr>
          <w:p w14:paraId="6BF928C3">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lang w:val="en-US" w:eastAsia="zh-CN"/>
              </w:rPr>
            </w:pPr>
            <w:r>
              <w:rPr>
                <w:rFonts w:hint="eastAsia" w:ascii="宋体" w:hAnsi="宋体" w:eastAsia="宋体" w:cs="宋体"/>
                <w:bCs/>
                <w:color w:val="auto"/>
                <w:kern w:val="0"/>
                <w:sz w:val="22"/>
                <w:szCs w:val="22"/>
                <w:highlight w:val="none"/>
                <w:lang w:val="en-US" w:eastAsia="zh-CN"/>
              </w:rPr>
              <w:t>①对国家、省、地市相关地表水自动监测站建设与断面点位调整政策及公义断面水质自动监测站现状理解全面、准确；</w:t>
            </w:r>
          </w:p>
          <w:p w14:paraId="11D12290">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lang w:val="en-US" w:eastAsia="zh-CN"/>
              </w:rPr>
            </w:pPr>
            <w:r>
              <w:rPr>
                <w:rFonts w:hint="eastAsia" w:ascii="宋体" w:hAnsi="宋体" w:eastAsia="宋体" w:cs="宋体"/>
                <w:bCs/>
                <w:color w:val="auto"/>
                <w:kern w:val="0"/>
                <w:sz w:val="22"/>
                <w:szCs w:val="22"/>
                <w:highlight w:val="none"/>
                <w:lang w:val="en-US" w:eastAsia="zh-CN"/>
              </w:rPr>
              <w:t>②对拟</w:t>
            </w:r>
            <w:r>
              <w:rPr>
                <w:rFonts w:hint="eastAsia" w:ascii="宋体" w:hAnsi="宋体" w:cs="宋体"/>
                <w:bCs/>
                <w:color w:val="auto"/>
                <w:kern w:val="0"/>
                <w:sz w:val="22"/>
                <w:szCs w:val="22"/>
                <w:highlight w:val="none"/>
                <w:lang w:val="en-US" w:eastAsia="zh-CN"/>
              </w:rPr>
              <w:t>设点位</w:t>
            </w:r>
            <w:r>
              <w:rPr>
                <w:rFonts w:hint="eastAsia" w:ascii="宋体" w:hAnsi="宋体" w:eastAsia="宋体" w:cs="宋体"/>
                <w:bCs/>
                <w:color w:val="auto"/>
                <w:kern w:val="0"/>
                <w:sz w:val="22"/>
                <w:szCs w:val="22"/>
                <w:highlight w:val="none"/>
                <w:lang w:val="en-US" w:eastAsia="zh-CN"/>
              </w:rPr>
              <w:t>调整所涉现场条件、断面水文水质及环境条件分析到位；</w:t>
            </w:r>
          </w:p>
          <w:p w14:paraId="1B25BD16">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lang w:val="en-US" w:eastAsia="zh-CN"/>
              </w:rPr>
            </w:pPr>
            <w:r>
              <w:rPr>
                <w:rFonts w:hint="eastAsia" w:ascii="宋体" w:hAnsi="宋体" w:eastAsia="宋体" w:cs="宋体"/>
                <w:bCs/>
                <w:color w:val="auto"/>
                <w:kern w:val="0"/>
                <w:sz w:val="22"/>
                <w:szCs w:val="22"/>
                <w:highlight w:val="none"/>
                <w:lang w:val="en-US" w:eastAsia="zh-CN"/>
              </w:rPr>
              <w:t>③对可行性论证工作的重点、难点把握准确，分析有针对性。</w:t>
            </w:r>
          </w:p>
          <w:p w14:paraId="31AACF22">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bCs/>
                <w:color w:val="auto"/>
                <w:kern w:val="0"/>
                <w:sz w:val="22"/>
                <w:szCs w:val="22"/>
                <w:highlight w:val="none"/>
                <w:lang w:val="en-US" w:eastAsia="zh-CN"/>
              </w:rPr>
              <w:t>优：1</w:t>
            </w:r>
            <w:r>
              <w:rPr>
                <w:rFonts w:hint="eastAsia" w:ascii="宋体" w:hAnsi="宋体" w:cs="宋体"/>
                <w:bCs/>
                <w:color w:val="auto"/>
                <w:kern w:val="0"/>
                <w:sz w:val="22"/>
                <w:szCs w:val="22"/>
                <w:highlight w:val="none"/>
                <w:lang w:val="en-US" w:eastAsia="zh-CN"/>
              </w:rPr>
              <w:t>5</w:t>
            </w:r>
            <w:r>
              <w:rPr>
                <w:rFonts w:hint="eastAsia" w:ascii="宋体" w:hAnsi="宋体" w:eastAsia="宋体" w:cs="宋体"/>
                <w:bCs/>
                <w:color w:val="auto"/>
                <w:kern w:val="0"/>
                <w:sz w:val="22"/>
                <w:szCs w:val="22"/>
                <w:highlight w:val="none"/>
                <w:lang w:val="en-US" w:eastAsia="zh-CN"/>
              </w:rPr>
              <w:t>分；良：</w:t>
            </w:r>
            <w:r>
              <w:rPr>
                <w:rFonts w:hint="eastAsia" w:ascii="宋体" w:hAnsi="宋体" w:cs="宋体"/>
                <w:bCs/>
                <w:color w:val="auto"/>
                <w:kern w:val="0"/>
                <w:sz w:val="22"/>
                <w:szCs w:val="22"/>
                <w:highlight w:val="none"/>
                <w:lang w:val="en-US" w:eastAsia="zh-CN"/>
              </w:rPr>
              <w:t>10</w:t>
            </w:r>
            <w:r>
              <w:rPr>
                <w:rFonts w:hint="eastAsia" w:ascii="宋体" w:hAnsi="宋体" w:eastAsia="宋体" w:cs="宋体"/>
                <w:bCs/>
                <w:color w:val="auto"/>
                <w:kern w:val="0"/>
                <w:sz w:val="22"/>
                <w:szCs w:val="22"/>
                <w:highlight w:val="none"/>
                <w:lang w:val="en-US" w:eastAsia="zh-CN"/>
              </w:rPr>
              <w:t>分；中：</w:t>
            </w:r>
            <w:r>
              <w:rPr>
                <w:rFonts w:hint="eastAsia" w:ascii="宋体" w:hAnsi="宋体" w:cs="宋体"/>
                <w:bCs/>
                <w:color w:val="auto"/>
                <w:kern w:val="0"/>
                <w:sz w:val="22"/>
                <w:szCs w:val="22"/>
                <w:highlight w:val="none"/>
                <w:lang w:val="en-US" w:eastAsia="zh-CN"/>
              </w:rPr>
              <w:t>5</w:t>
            </w:r>
            <w:r>
              <w:rPr>
                <w:rFonts w:hint="eastAsia" w:ascii="宋体" w:hAnsi="宋体" w:eastAsia="宋体" w:cs="宋体"/>
                <w:bCs/>
                <w:color w:val="auto"/>
                <w:kern w:val="0"/>
                <w:sz w:val="22"/>
                <w:szCs w:val="22"/>
                <w:highlight w:val="none"/>
                <w:lang w:val="en-US" w:eastAsia="zh-CN"/>
              </w:rPr>
              <w:t>分；差：</w:t>
            </w:r>
            <w:r>
              <w:rPr>
                <w:rFonts w:hint="eastAsia" w:ascii="宋体" w:hAnsi="宋体" w:cs="宋体"/>
                <w:bCs/>
                <w:color w:val="auto"/>
                <w:kern w:val="0"/>
                <w:sz w:val="22"/>
                <w:szCs w:val="22"/>
                <w:highlight w:val="none"/>
                <w:lang w:val="en-US" w:eastAsia="zh-CN"/>
              </w:rPr>
              <w:t>2</w:t>
            </w:r>
            <w:r>
              <w:rPr>
                <w:rFonts w:hint="eastAsia" w:ascii="宋体" w:hAnsi="宋体" w:eastAsia="宋体" w:cs="宋体"/>
                <w:bCs/>
                <w:color w:val="auto"/>
                <w:kern w:val="0"/>
                <w:sz w:val="22"/>
                <w:szCs w:val="22"/>
                <w:highlight w:val="none"/>
                <w:lang w:val="en-US" w:eastAsia="zh-CN"/>
              </w:rPr>
              <w:t>分；未提供不得分。</w:t>
            </w:r>
          </w:p>
        </w:tc>
        <w:tc>
          <w:tcPr>
            <w:tcW w:w="709" w:type="dxa"/>
            <w:vAlign w:val="center"/>
          </w:tcPr>
          <w:p w14:paraId="459AC3DD">
            <w:pPr>
              <w:autoSpaceDE w:val="0"/>
              <w:autoSpaceDN w:val="0"/>
              <w:adjustRightInd w:val="0"/>
              <w:snapToGrid w:val="0"/>
              <w:spacing w:line="240" w:lineRule="auto"/>
              <w:jc w:val="center"/>
              <w:rPr>
                <w:rFonts w:hint="default" w:ascii="宋体" w:hAnsi="宋体" w:eastAsia="宋体" w:cs="宋体"/>
                <w:bCs/>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15</w:t>
            </w:r>
          </w:p>
        </w:tc>
        <w:tc>
          <w:tcPr>
            <w:tcW w:w="709" w:type="dxa"/>
            <w:vAlign w:val="center"/>
          </w:tcPr>
          <w:p w14:paraId="59B55443">
            <w:pPr>
              <w:autoSpaceDE w:val="0"/>
              <w:autoSpaceDN w:val="0"/>
              <w:adjustRightInd w:val="0"/>
              <w:snapToGrid w:val="0"/>
              <w:spacing w:line="240" w:lineRule="auto"/>
              <w:jc w:val="center"/>
              <w:rPr>
                <w:rFonts w:hint="eastAsia" w:ascii="宋体" w:hAnsi="宋体" w:eastAsia="宋体" w:cs="宋体"/>
                <w:color w:val="auto"/>
                <w:kern w:val="0"/>
                <w:sz w:val="20"/>
                <w:szCs w:val="20"/>
                <w:highlight w:val="none"/>
              </w:rPr>
            </w:pPr>
          </w:p>
        </w:tc>
      </w:tr>
      <w:tr w14:paraId="74AA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691" w:type="dxa"/>
            <w:vAlign w:val="center"/>
          </w:tcPr>
          <w:p w14:paraId="257A636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2</w:t>
            </w:r>
          </w:p>
        </w:tc>
        <w:tc>
          <w:tcPr>
            <w:tcW w:w="1073" w:type="dxa"/>
            <w:shd w:val="clear" w:color="auto" w:fill="auto"/>
            <w:vAlign w:val="center"/>
          </w:tcPr>
          <w:p w14:paraId="265A0D53">
            <w:pPr>
              <w:keepNext w:val="0"/>
              <w:keepLines w:val="0"/>
              <w:widowControl/>
              <w:suppressLineNumbers w:val="0"/>
              <w:jc w:val="center"/>
              <w:rPr>
                <w:rFonts w:hint="default" w:ascii="宋体" w:hAnsi="宋体" w:eastAsia="宋体" w:cs="宋体"/>
                <w:bCs/>
                <w:color w:val="auto"/>
                <w:kern w:val="0"/>
                <w:sz w:val="22"/>
                <w:szCs w:val="22"/>
                <w:highlight w:val="none"/>
                <w:lang w:val="en-US" w:eastAsia="zh-CN"/>
              </w:rPr>
            </w:pPr>
            <w:r>
              <w:rPr>
                <w:rFonts w:ascii="宋体" w:hAnsi="宋体" w:eastAsia="宋体" w:cs="宋体"/>
                <w:color w:val="auto"/>
                <w:kern w:val="0"/>
                <w:sz w:val="22"/>
                <w:szCs w:val="22"/>
                <w:lang w:val="en-US" w:eastAsia="zh-CN" w:bidi="ar"/>
              </w:rPr>
              <w:t>可行性论证技术路线流程</w:t>
            </w:r>
          </w:p>
        </w:tc>
        <w:tc>
          <w:tcPr>
            <w:tcW w:w="7481" w:type="dxa"/>
            <w:shd w:val="clear" w:color="auto" w:fill="auto"/>
            <w:vAlign w:val="center"/>
          </w:tcPr>
          <w:p w14:paraId="2403ADE8">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①技术路线及总体工作流程科学合理、清晰完整；</w:t>
            </w:r>
          </w:p>
          <w:p w14:paraId="2353B526">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②论证方法选择得当，具有针对性。</w:t>
            </w:r>
          </w:p>
          <w:p w14:paraId="0AFFA8FB">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宋体" w:hAnsi="宋体" w:eastAsia="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优：15分；良：10分；中：5分；</w:t>
            </w:r>
            <w:r>
              <w:rPr>
                <w:rFonts w:hint="eastAsia" w:ascii="宋体" w:hAnsi="宋体" w:eastAsia="宋体" w:cs="宋体"/>
                <w:bCs/>
                <w:color w:val="auto"/>
                <w:kern w:val="0"/>
                <w:sz w:val="22"/>
                <w:szCs w:val="22"/>
                <w:highlight w:val="none"/>
                <w:lang w:val="en-US" w:eastAsia="zh-CN"/>
              </w:rPr>
              <w:t>差：</w:t>
            </w:r>
            <w:r>
              <w:rPr>
                <w:rFonts w:hint="eastAsia" w:ascii="宋体" w:hAnsi="宋体" w:cs="宋体"/>
                <w:bCs/>
                <w:color w:val="auto"/>
                <w:kern w:val="0"/>
                <w:sz w:val="22"/>
                <w:szCs w:val="22"/>
                <w:highlight w:val="none"/>
                <w:lang w:val="en-US" w:eastAsia="zh-CN"/>
              </w:rPr>
              <w:t>2</w:t>
            </w:r>
            <w:r>
              <w:rPr>
                <w:rFonts w:hint="eastAsia" w:ascii="宋体" w:hAnsi="宋体" w:eastAsia="宋体" w:cs="宋体"/>
                <w:bCs/>
                <w:color w:val="auto"/>
                <w:kern w:val="0"/>
                <w:sz w:val="22"/>
                <w:szCs w:val="22"/>
                <w:highlight w:val="none"/>
                <w:lang w:val="en-US" w:eastAsia="zh-CN"/>
              </w:rPr>
              <w:t>分；未提供不得分。</w:t>
            </w:r>
          </w:p>
        </w:tc>
        <w:tc>
          <w:tcPr>
            <w:tcW w:w="709" w:type="dxa"/>
            <w:vAlign w:val="center"/>
          </w:tcPr>
          <w:p w14:paraId="7F194A1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15</w:t>
            </w:r>
          </w:p>
        </w:tc>
        <w:tc>
          <w:tcPr>
            <w:tcW w:w="709" w:type="dxa"/>
            <w:vAlign w:val="center"/>
          </w:tcPr>
          <w:p w14:paraId="2EF66762">
            <w:pPr>
              <w:autoSpaceDE w:val="0"/>
              <w:autoSpaceDN w:val="0"/>
              <w:adjustRightInd w:val="0"/>
              <w:snapToGrid w:val="0"/>
              <w:spacing w:line="200" w:lineRule="exact"/>
              <w:jc w:val="center"/>
              <w:rPr>
                <w:rFonts w:ascii="宋体" w:hAnsi="宋体" w:cs="宋体"/>
                <w:color w:val="auto"/>
                <w:kern w:val="0"/>
                <w:sz w:val="20"/>
                <w:szCs w:val="20"/>
                <w:highlight w:val="none"/>
              </w:rPr>
            </w:pPr>
          </w:p>
        </w:tc>
      </w:tr>
      <w:tr w14:paraId="5590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91" w:type="dxa"/>
            <w:vAlign w:val="center"/>
          </w:tcPr>
          <w:p w14:paraId="6DF91AD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0"/>
                <w:szCs w:val="20"/>
                <w:highlight w:val="none"/>
                <w:lang w:val="en-US" w:eastAsia="zh-CN"/>
              </w:rPr>
            </w:pPr>
            <w:r>
              <w:rPr>
                <w:rFonts w:hint="eastAsia" w:ascii="宋体" w:hAnsi="宋体" w:cs="宋体"/>
                <w:bCs/>
                <w:color w:val="auto"/>
                <w:kern w:val="0"/>
                <w:sz w:val="20"/>
                <w:szCs w:val="20"/>
                <w:highlight w:val="none"/>
                <w:lang w:val="en-US" w:eastAsia="zh-CN"/>
              </w:rPr>
              <w:t>3</w:t>
            </w:r>
          </w:p>
        </w:tc>
        <w:tc>
          <w:tcPr>
            <w:tcW w:w="1073" w:type="dxa"/>
            <w:vAlign w:val="center"/>
          </w:tcPr>
          <w:p w14:paraId="77B89404">
            <w:pPr>
              <w:keepNext w:val="0"/>
              <w:keepLines w:val="0"/>
              <w:widowControl/>
              <w:suppressLineNumbers w:val="0"/>
              <w:jc w:val="center"/>
              <w:rPr>
                <w:color w:val="auto"/>
                <w:sz w:val="22"/>
                <w:szCs w:val="22"/>
              </w:rPr>
            </w:pPr>
            <w:r>
              <w:rPr>
                <w:rFonts w:ascii="宋体" w:hAnsi="宋体" w:eastAsia="宋体" w:cs="宋体"/>
                <w:color w:val="auto"/>
                <w:kern w:val="0"/>
                <w:sz w:val="22"/>
                <w:szCs w:val="22"/>
                <w:lang w:val="en-US" w:eastAsia="zh-CN" w:bidi="ar"/>
              </w:rPr>
              <w:t>进度保障</w:t>
            </w:r>
          </w:p>
          <w:p w14:paraId="587174F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2"/>
                <w:szCs w:val="22"/>
                <w:highlight w:val="none"/>
              </w:rPr>
            </w:pPr>
          </w:p>
        </w:tc>
        <w:tc>
          <w:tcPr>
            <w:tcW w:w="7481" w:type="dxa"/>
            <w:vAlign w:val="center"/>
          </w:tcPr>
          <w:p w14:paraId="0668114E">
            <w:pPr>
              <w:keepNext w:val="0"/>
              <w:keepLines w:val="0"/>
              <w:widowControl/>
              <w:suppressLineNumbers w:val="0"/>
              <w:jc w:val="left"/>
              <w:rPr>
                <w:rFonts w:hint="eastAsia" w:ascii="宋体" w:hAnsi="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①</w:t>
            </w:r>
            <w:r>
              <w:rPr>
                <w:rFonts w:ascii="宋体" w:hAnsi="宋体" w:eastAsia="宋体" w:cs="宋体"/>
                <w:color w:val="auto"/>
                <w:kern w:val="0"/>
                <w:sz w:val="22"/>
                <w:szCs w:val="22"/>
                <w:lang w:val="en-US" w:eastAsia="zh-CN" w:bidi="ar"/>
              </w:rPr>
              <w:t>进度计划详细，关键节点清晰，具备应急调整预案；</w:t>
            </w:r>
          </w:p>
          <w:p w14:paraId="1F1C2D25">
            <w:pPr>
              <w:keepNext w:val="0"/>
              <w:keepLines w:val="0"/>
              <w:widowControl/>
              <w:suppressLineNumbers w:val="0"/>
              <w:jc w:val="left"/>
              <w:rPr>
                <w:rFonts w:hint="eastAsia" w:ascii="宋体" w:hAnsi="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②</w:t>
            </w:r>
            <w:r>
              <w:rPr>
                <w:rFonts w:ascii="宋体" w:hAnsi="宋体" w:eastAsia="宋体" w:cs="宋体"/>
                <w:color w:val="auto"/>
                <w:kern w:val="0"/>
                <w:sz w:val="22"/>
                <w:szCs w:val="22"/>
                <w:lang w:val="en-US" w:eastAsia="zh-CN" w:bidi="ar"/>
              </w:rPr>
              <w:t>保障措施具体</w:t>
            </w:r>
            <w:bookmarkStart w:id="4" w:name="_GoBack"/>
            <w:bookmarkEnd w:id="4"/>
            <w:r>
              <w:rPr>
                <w:rFonts w:ascii="宋体" w:hAnsi="宋体" w:eastAsia="宋体" w:cs="宋体"/>
                <w:color w:val="auto"/>
                <w:kern w:val="0"/>
                <w:sz w:val="22"/>
                <w:szCs w:val="22"/>
                <w:lang w:val="en-US" w:eastAsia="zh-CN" w:bidi="ar"/>
              </w:rPr>
              <w:t>、可操作性强。</w:t>
            </w:r>
          </w:p>
          <w:p w14:paraId="2CBE19D9">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优：10分；良：8分；中：5分；</w:t>
            </w:r>
            <w:r>
              <w:rPr>
                <w:rFonts w:hint="eastAsia" w:ascii="宋体" w:hAnsi="宋体" w:eastAsia="宋体" w:cs="宋体"/>
                <w:bCs/>
                <w:color w:val="auto"/>
                <w:kern w:val="0"/>
                <w:sz w:val="22"/>
                <w:szCs w:val="22"/>
                <w:highlight w:val="none"/>
                <w:lang w:val="en-US" w:eastAsia="zh-CN"/>
              </w:rPr>
              <w:t>差：</w:t>
            </w:r>
            <w:r>
              <w:rPr>
                <w:rFonts w:hint="eastAsia" w:ascii="宋体" w:hAnsi="宋体" w:cs="宋体"/>
                <w:bCs/>
                <w:color w:val="auto"/>
                <w:kern w:val="0"/>
                <w:sz w:val="22"/>
                <w:szCs w:val="22"/>
                <w:highlight w:val="none"/>
                <w:lang w:val="en-US" w:eastAsia="zh-CN"/>
              </w:rPr>
              <w:t>2</w:t>
            </w:r>
            <w:r>
              <w:rPr>
                <w:rFonts w:hint="eastAsia" w:ascii="宋体" w:hAnsi="宋体" w:eastAsia="宋体" w:cs="宋体"/>
                <w:bCs/>
                <w:color w:val="auto"/>
                <w:kern w:val="0"/>
                <w:sz w:val="22"/>
                <w:szCs w:val="22"/>
                <w:highlight w:val="none"/>
                <w:lang w:val="en-US" w:eastAsia="zh-CN"/>
              </w:rPr>
              <w:t>分；未提供不得分。</w:t>
            </w:r>
          </w:p>
        </w:tc>
        <w:tc>
          <w:tcPr>
            <w:tcW w:w="709" w:type="dxa"/>
            <w:vAlign w:val="center"/>
          </w:tcPr>
          <w:p w14:paraId="27CB767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10</w:t>
            </w:r>
          </w:p>
        </w:tc>
        <w:tc>
          <w:tcPr>
            <w:tcW w:w="709" w:type="dxa"/>
            <w:vAlign w:val="center"/>
          </w:tcPr>
          <w:p w14:paraId="25F85185">
            <w:pPr>
              <w:autoSpaceDE w:val="0"/>
              <w:autoSpaceDN w:val="0"/>
              <w:adjustRightInd w:val="0"/>
              <w:snapToGrid w:val="0"/>
              <w:spacing w:line="200" w:lineRule="exact"/>
              <w:jc w:val="center"/>
              <w:rPr>
                <w:rFonts w:ascii="宋体" w:hAnsi="宋体" w:cs="宋体"/>
                <w:color w:val="auto"/>
                <w:kern w:val="0"/>
                <w:sz w:val="20"/>
                <w:szCs w:val="20"/>
                <w:highlight w:val="none"/>
              </w:rPr>
            </w:pPr>
          </w:p>
        </w:tc>
      </w:tr>
      <w:tr w14:paraId="7BA9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0663" w:type="dxa"/>
            <w:gridSpan w:val="5"/>
            <w:vAlign w:val="center"/>
          </w:tcPr>
          <w:p w14:paraId="20A27EC1">
            <w:pPr>
              <w:autoSpaceDE w:val="0"/>
              <w:autoSpaceDN w:val="0"/>
              <w:adjustRightInd w:val="0"/>
              <w:snapToGrid w:val="0"/>
              <w:spacing w:line="240" w:lineRule="auto"/>
              <w:ind w:left="-111" w:leftChars="-37" w:right="-105" w:rightChars="-35"/>
              <w:jc w:val="center"/>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二、商务部分 （</w:t>
            </w:r>
            <w:r>
              <w:rPr>
                <w:rFonts w:hint="eastAsia" w:ascii="宋体" w:hAnsi="宋体" w:cs="宋体"/>
                <w:b/>
                <w:color w:val="auto"/>
                <w:kern w:val="0"/>
                <w:sz w:val="22"/>
                <w:szCs w:val="22"/>
                <w:highlight w:val="none"/>
                <w:lang w:val="en-US" w:eastAsia="zh-CN"/>
              </w:rPr>
              <w:t>40</w:t>
            </w:r>
            <w:r>
              <w:rPr>
                <w:rFonts w:hint="eastAsia" w:ascii="宋体" w:hAnsi="宋体" w:cs="宋体"/>
                <w:b/>
                <w:color w:val="auto"/>
                <w:kern w:val="0"/>
                <w:sz w:val="22"/>
                <w:szCs w:val="22"/>
                <w:highlight w:val="none"/>
              </w:rPr>
              <w:t>分）</w:t>
            </w:r>
          </w:p>
        </w:tc>
      </w:tr>
      <w:tr w14:paraId="5137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91" w:type="dxa"/>
            <w:vAlign w:val="center"/>
          </w:tcPr>
          <w:p w14:paraId="52ACFBA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1</w:t>
            </w:r>
          </w:p>
        </w:tc>
        <w:tc>
          <w:tcPr>
            <w:tcW w:w="1073" w:type="dxa"/>
            <w:vAlign w:val="center"/>
          </w:tcPr>
          <w:p w14:paraId="2CB5A22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lang w:val="en-US" w:eastAsia="zh-CN"/>
              </w:rPr>
              <w:t>服务</w:t>
            </w:r>
            <w:r>
              <w:rPr>
                <w:rFonts w:hint="eastAsia" w:ascii="宋体" w:hAnsi="宋体" w:eastAsia="宋体" w:cs="宋体"/>
                <w:bCs/>
                <w:color w:val="auto"/>
                <w:kern w:val="0"/>
                <w:sz w:val="22"/>
                <w:szCs w:val="22"/>
                <w:highlight w:val="none"/>
              </w:rPr>
              <w:t>商同类项目业绩</w:t>
            </w:r>
          </w:p>
        </w:tc>
        <w:tc>
          <w:tcPr>
            <w:tcW w:w="7481" w:type="dxa"/>
            <w:vAlign w:val="center"/>
          </w:tcPr>
          <w:p w14:paraId="1659F3FB">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bCs/>
                <w:color w:val="auto"/>
                <w:kern w:val="0"/>
                <w:sz w:val="22"/>
                <w:szCs w:val="22"/>
                <w:highlight w:val="none"/>
              </w:rPr>
              <w:t>近</w:t>
            </w:r>
            <w:r>
              <w:rPr>
                <w:rFonts w:hint="eastAsia" w:ascii="宋体" w:hAnsi="宋体" w:cs="宋体"/>
                <w:bCs/>
                <w:color w:val="auto"/>
                <w:kern w:val="0"/>
                <w:sz w:val="22"/>
                <w:szCs w:val="22"/>
                <w:highlight w:val="none"/>
                <w:lang w:val="en-US" w:eastAsia="zh-CN"/>
              </w:rPr>
              <w:t>5</w:t>
            </w:r>
            <w:r>
              <w:rPr>
                <w:rFonts w:hint="eastAsia" w:ascii="宋体" w:hAnsi="宋体" w:eastAsia="宋体" w:cs="宋体"/>
                <w:bCs/>
                <w:color w:val="auto"/>
                <w:kern w:val="0"/>
                <w:sz w:val="22"/>
                <w:szCs w:val="22"/>
                <w:highlight w:val="none"/>
              </w:rPr>
              <w:t>年（自投标截止日往前推</w:t>
            </w:r>
            <w:r>
              <w:rPr>
                <w:rFonts w:hint="eastAsia" w:ascii="宋体" w:hAnsi="宋体" w:cs="宋体"/>
                <w:bCs/>
                <w:color w:val="auto"/>
                <w:kern w:val="0"/>
                <w:sz w:val="22"/>
                <w:szCs w:val="22"/>
                <w:highlight w:val="none"/>
                <w:lang w:val="en-US" w:eastAsia="zh-CN"/>
              </w:rPr>
              <w:t>60</w:t>
            </w:r>
            <w:r>
              <w:rPr>
                <w:rFonts w:hint="eastAsia" w:ascii="宋体" w:hAnsi="宋体" w:eastAsia="宋体" w:cs="宋体"/>
                <w:bCs/>
                <w:color w:val="auto"/>
                <w:kern w:val="0"/>
                <w:sz w:val="22"/>
                <w:szCs w:val="22"/>
                <w:highlight w:val="none"/>
              </w:rPr>
              <w:t>个月）承担过</w:t>
            </w:r>
            <w:r>
              <w:rPr>
                <w:rFonts w:hint="eastAsia" w:ascii="宋体" w:hAnsi="宋体" w:eastAsia="宋体" w:cs="宋体"/>
                <w:bCs/>
                <w:color w:val="auto"/>
                <w:kern w:val="0"/>
                <w:sz w:val="22"/>
                <w:szCs w:val="22"/>
                <w:highlight w:val="none"/>
                <w:lang w:val="en-US" w:eastAsia="zh-CN"/>
              </w:rPr>
              <w:t>水环境、水生态</w:t>
            </w:r>
            <w:r>
              <w:rPr>
                <w:rFonts w:hint="eastAsia" w:ascii="宋体" w:hAnsi="宋体" w:eastAsia="宋体" w:cs="宋体"/>
                <w:bCs/>
                <w:color w:val="auto"/>
                <w:kern w:val="0"/>
                <w:sz w:val="22"/>
                <w:szCs w:val="22"/>
                <w:highlight w:val="none"/>
              </w:rPr>
              <w:t>相关的技术服务支撑项目业绩：每提供1项得</w:t>
            </w:r>
            <w:r>
              <w:rPr>
                <w:rFonts w:hint="eastAsia" w:ascii="宋体" w:hAnsi="宋体" w:cs="宋体"/>
                <w:bCs/>
                <w:color w:val="auto"/>
                <w:kern w:val="0"/>
                <w:sz w:val="22"/>
                <w:szCs w:val="22"/>
                <w:highlight w:val="none"/>
                <w:lang w:val="en-US" w:eastAsia="zh-CN"/>
              </w:rPr>
              <w:t>5</w:t>
            </w:r>
            <w:r>
              <w:rPr>
                <w:rFonts w:hint="eastAsia" w:ascii="宋体" w:hAnsi="宋体" w:eastAsia="宋体" w:cs="宋体"/>
                <w:bCs/>
                <w:color w:val="auto"/>
                <w:kern w:val="0"/>
                <w:sz w:val="22"/>
                <w:szCs w:val="22"/>
                <w:highlight w:val="none"/>
              </w:rPr>
              <w:t>分</w:t>
            </w:r>
            <w:r>
              <w:rPr>
                <w:rFonts w:hint="eastAsia" w:ascii="宋体" w:hAnsi="宋体" w:cs="宋体"/>
                <w:bCs/>
                <w:color w:val="auto"/>
                <w:kern w:val="0"/>
                <w:sz w:val="22"/>
                <w:szCs w:val="22"/>
                <w:highlight w:val="none"/>
                <w:lang w:eastAsia="zh-CN"/>
              </w:rPr>
              <w:t>；</w:t>
            </w:r>
            <w:r>
              <w:rPr>
                <w:rFonts w:hint="eastAsia" w:ascii="宋体" w:hAnsi="宋体" w:eastAsia="宋体" w:cs="宋体"/>
                <w:bCs/>
                <w:color w:val="auto"/>
                <w:kern w:val="0"/>
                <w:sz w:val="22"/>
                <w:szCs w:val="22"/>
                <w:highlight w:val="none"/>
              </w:rPr>
              <w:t>本项满分</w:t>
            </w:r>
            <w:r>
              <w:rPr>
                <w:rFonts w:hint="eastAsia" w:ascii="宋体" w:hAnsi="宋体" w:cs="宋体"/>
                <w:bCs/>
                <w:color w:val="auto"/>
                <w:kern w:val="0"/>
                <w:sz w:val="22"/>
                <w:szCs w:val="22"/>
                <w:highlight w:val="none"/>
                <w:lang w:val="en-US" w:eastAsia="zh-CN"/>
              </w:rPr>
              <w:t>20</w:t>
            </w:r>
            <w:r>
              <w:rPr>
                <w:rFonts w:hint="eastAsia" w:ascii="宋体" w:hAnsi="宋体" w:eastAsia="宋体" w:cs="宋体"/>
                <w:bCs/>
                <w:color w:val="auto"/>
                <w:kern w:val="0"/>
                <w:sz w:val="22"/>
                <w:szCs w:val="22"/>
                <w:highlight w:val="none"/>
              </w:rPr>
              <w:t>分，同一项目不重复计分。</w:t>
            </w:r>
          </w:p>
          <w:p w14:paraId="762BF1CC">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b/>
                <w:bCs w:val="0"/>
                <w:color w:val="auto"/>
                <w:kern w:val="0"/>
                <w:sz w:val="22"/>
                <w:szCs w:val="22"/>
                <w:highlight w:val="none"/>
              </w:rPr>
              <w:t>注：提供加盖公章的合同关键信息（含签订合同双方的单位名称、合同项目名称、服务内容与含签订合同双方的落款盖章、签订日期的关键页）复印件作为得分依据。以合同签订时间为准。</w:t>
            </w:r>
          </w:p>
        </w:tc>
        <w:tc>
          <w:tcPr>
            <w:tcW w:w="709" w:type="dxa"/>
            <w:vAlign w:val="center"/>
          </w:tcPr>
          <w:p w14:paraId="2AA31BF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20</w:t>
            </w:r>
          </w:p>
        </w:tc>
        <w:tc>
          <w:tcPr>
            <w:tcW w:w="709" w:type="dxa"/>
            <w:vAlign w:val="center"/>
          </w:tcPr>
          <w:p w14:paraId="59791D78">
            <w:pPr>
              <w:autoSpaceDE w:val="0"/>
              <w:autoSpaceDN w:val="0"/>
              <w:adjustRightInd w:val="0"/>
              <w:snapToGrid w:val="0"/>
              <w:spacing w:line="200" w:lineRule="exact"/>
              <w:ind w:left="-111" w:leftChars="-37" w:right="-105" w:rightChars="-35"/>
              <w:jc w:val="center"/>
              <w:rPr>
                <w:rFonts w:ascii="宋体" w:hAnsi="宋体" w:cs="宋体"/>
                <w:color w:val="auto"/>
                <w:kern w:val="0"/>
                <w:sz w:val="20"/>
                <w:szCs w:val="20"/>
                <w:highlight w:val="none"/>
              </w:rPr>
            </w:pPr>
          </w:p>
        </w:tc>
      </w:tr>
      <w:tr w14:paraId="2167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91" w:type="dxa"/>
            <w:vAlign w:val="center"/>
          </w:tcPr>
          <w:p w14:paraId="4743F9B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2</w:t>
            </w:r>
          </w:p>
        </w:tc>
        <w:tc>
          <w:tcPr>
            <w:tcW w:w="1073" w:type="dxa"/>
            <w:vAlign w:val="center"/>
          </w:tcPr>
          <w:p w14:paraId="324B175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2"/>
                <w:szCs w:val="22"/>
                <w:highlight w:val="none"/>
                <w:lang w:val="en-US" w:eastAsia="zh-CN"/>
              </w:rPr>
            </w:pPr>
            <w:r>
              <w:rPr>
                <w:rFonts w:ascii="宋体" w:hAnsi="宋体" w:eastAsia="宋体" w:cs="宋体"/>
                <w:color w:val="auto"/>
                <w:sz w:val="22"/>
                <w:szCs w:val="22"/>
              </w:rPr>
              <w:t>项目团队</w:t>
            </w:r>
          </w:p>
        </w:tc>
        <w:tc>
          <w:tcPr>
            <w:tcW w:w="7481" w:type="dxa"/>
            <w:vAlign w:val="center"/>
          </w:tcPr>
          <w:p w14:paraId="7878F659">
            <w:pPr>
              <w:keepNext w:val="0"/>
              <w:keepLines w:val="0"/>
              <w:widowControl/>
              <w:suppressLineNumbers w:val="0"/>
              <w:jc w:val="left"/>
              <w:rPr>
                <w:rFonts w:hint="eastAsia" w:ascii="宋体" w:hAnsi="宋体" w:eastAsia="宋体" w:cs="宋体"/>
                <w:bCs/>
                <w:color w:val="auto"/>
                <w:kern w:val="0"/>
                <w:sz w:val="22"/>
                <w:szCs w:val="22"/>
                <w:highlight w:val="none"/>
                <w:lang w:val="en-US" w:eastAsia="zh-CN"/>
              </w:rPr>
            </w:pPr>
            <w:bookmarkStart w:id="1" w:name="OLE_LINK1"/>
            <w:r>
              <w:rPr>
                <w:rFonts w:hint="eastAsia" w:ascii="宋体" w:hAnsi="宋体" w:eastAsia="宋体" w:cs="宋体"/>
                <w:bCs/>
                <w:color w:val="auto"/>
                <w:kern w:val="0"/>
                <w:sz w:val="22"/>
                <w:szCs w:val="22"/>
                <w:highlight w:val="none"/>
                <w:lang w:val="en-US" w:eastAsia="zh-CN"/>
              </w:rPr>
              <w:t>①项目负责人具有</w:t>
            </w:r>
            <w:r>
              <w:rPr>
                <w:rFonts w:hint="eastAsia" w:ascii="宋体" w:hAnsi="宋体" w:eastAsia="宋体" w:cs="宋体"/>
                <w:bCs/>
                <w:color w:val="auto"/>
                <w:kern w:val="0"/>
                <w:sz w:val="22"/>
                <w:szCs w:val="22"/>
                <w:highlight w:val="none"/>
              </w:rPr>
              <w:t>生态</w:t>
            </w:r>
            <w:r>
              <w:rPr>
                <w:rFonts w:hint="eastAsia" w:ascii="宋体" w:hAnsi="宋体" w:eastAsia="宋体" w:cs="宋体"/>
                <w:bCs/>
                <w:color w:val="auto"/>
                <w:kern w:val="0"/>
                <w:sz w:val="22"/>
                <w:szCs w:val="22"/>
                <w:highlight w:val="none"/>
                <w:lang w:eastAsia="zh-CN"/>
              </w:rPr>
              <w:t>或环境类</w:t>
            </w:r>
            <w:r>
              <w:rPr>
                <w:rFonts w:hint="eastAsia" w:ascii="宋体" w:hAnsi="宋体" w:eastAsia="宋体" w:cs="宋体"/>
                <w:bCs/>
                <w:color w:val="auto"/>
                <w:kern w:val="0"/>
                <w:sz w:val="22"/>
                <w:szCs w:val="22"/>
                <w:highlight w:val="none"/>
              </w:rPr>
              <w:t>相关专业高级技术职称</w:t>
            </w:r>
            <w:r>
              <w:rPr>
                <w:rFonts w:hint="eastAsia" w:ascii="宋体" w:hAnsi="宋体" w:eastAsia="宋体" w:cs="宋体"/>
                <w:bCs/>
                <w:color w:val="auto"/>
                <w:kern w:val="0"/>
                <w:sz w:val="22"/>
                <w:szCs w:val="22"/>
                <w:highlight w:val="none"/>
                <w:lang w:val="en-US" w:eastAsia="zh-CN"/>
              </w:rPr>
              <w:t>或以上</w:t>
            </w:r>
            <w:r>
              <w:rPr>
                <w:rFonts w:hint="eastAsia" w:ascii="宋体" w:hAnsi="宋体" w:eastAsia="宋体" w:cs="宋体"/>
                <w:bCs/>
                <w:color w:val="auto"/>
                <w:kern w:val="0"/>
                <w:sz w:val="22"/>
                <w:szCs w:val="22"/>
                <w:highlight w:val="none"/>
              </w:rPr>
              <w:t>的</w:t>
            </w:r>
            <w:r>
              <w:rPr>
                <w:rFonts w:hint="eastAsia" w:ascii="宋体" w:hAnsi="宋体" w:cs="宋体"/>
                <w:bCs/>
                <w:color w:val="auto"/>
                <w:kern w:val="0"/>
                <w:sz w:val="22"/>
                <w:szCs w:val="22"/>
                <w:highlight w:val="none"/>
                <w:lang w:val="en-US" w:eastAsia="zh-CN"/>
              </w:rPr>
              <w:t>（本项5分，未提供不得分）</w:t>
            </w:r>
            <w:r>
              <w:rPr>
                <w:rFonts w:hint="eastAsia" w:ascii="宋体" w:hAnsi="宋体" w:eastAsia="宋体" w:cs="宋体"/>
                <w:bCs/>
                <w:color w:val="auto"/>
                <w:kern w:val="0"/>
                <w:sz w:val="22"/>
                <w:szCs w:val="22"/>
                <w:highlight w:val="none"/>
                <w:lang w:val="en-US" w:eastAsia="zh-CN"/>
              </w:rPr>
              <w:t>；</w:t>
            </w:r>
          </w:p>
          <w:p w14:paraId="6BF2FE9D">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lang w:val="en-US" w:eastAsia="zh-CN"/>
              </w:rPr>
            </w:pPr>
            <w:bookmarkStart w:id="2" w:name="OLE_LINK4"/>
            <w:r>
              <w:rPr>
                <w:rFonts w:hint="eastAsia" w:ascii="宋体" w:hAnsi="宋体" w:eastAsia="宋体" w:cs="宋体"/>
                <w:bCs/>
                <w:color w:val="auto"/>
                <w:kern w:val="0"/>
                <w:sz w:val="22"/>
                <w:szCs w:val="22"/>
                <w:highlight w:val="none"/>
                <w:lang w:val="en-US" w:eastAsia="zh-CN"/>
              </w:rPr>
              <w:t>②</w:t>
            </w:r>
            <w:r>
              <w:rPr>
                <w:rFonts w:hint="eastAsia" w:ascii="宋体" w:hAnsi="宋体" w:eastAsia="宋体" w:cs="宋体"/>
                <w:bCs/>
                <w:color w:val="auto"/>
                <w:kern w:val="0"/>
                <w:sz w:val="22"/>
                <w:szCs w:val="22"/>
                <w:highlight w:val="none"/>
              </w:rPr>
              <w:t>投入本项目的技术人员（项目负责人除外）中，每具有1名生态或环境类相关专业高级或以上专业技术职称人员得</w:t>
            </w:r>
            <w:r>
              <w:rPr>
                <w:rFonts w:hint="eastAsia" w:ascii="宋体" w:hAnsi="宋体" w:cs="宋体"/>
                <w:bCs/>
                <w:color w:val="auto"/>
                <w:kern w:val="0"/>
                <w:sz w:val="22"/>
                <w:szCs w:val="22"/>
                <w:highlight w:val="none"/>
                <w:lang w:val="en-US" w:eastAsia="zh-CN"/>
              </w:rPr>
              <w:t>3</w:t>
            </w:r>
            <w:r>
              <w:rPr>
                <w:rFonts w:hint="eastAsia" w:ascii="宋体" w:hAnsi="宋体" w:eastAsia="宋体" w:cs="宋体"/>
                <w:bCs/>
                <w:color w:val="auto"/>
                <w:kern w:val="0"/>
                <w:sz w:val="22"/>
                <w:szCs w:val="22"/>
                <w:highlight w:val="none"/>
              </w:rPr>
              <w:t>分，每具有1名生态或环境类相关专业中级专业技术职称人员得</w:t>
            </w:r>
            <w:r>
              <w:rPr>
                <w:rFonts w:hint="eastAsia" w:ascii="宋体" w:hAnsi="宋体" w:cs="宋体"/>
                <w:bCs/>
                <w:color w:val="auto"/>
                <w:kern w:val="0"/>
                <w:sz w:val="22"/>
                <w:szCs w:val="22"/>
                <w:highlight w:val="none"/>
                <w:lang w:val="en-US" w:eastAsia="zh-CN"/>
              </w:rPr>
              <w:t>2</w:t>
            </w:r>
            <w:r>
              <w:rPr>
                <w:rFonts w:hint="eastAsia" w:ascii="宋体" w:hAnsi="宋体" w:eastAsia="宋体" w:cs="宋体"/>
                <w:bCs/>
                <w:color w:val="auto"/>
                <w:kern w:val="0"/>
                <w:sz w:val="22"/>
                <w:szCs w:val="22"/>
                <w:highlight w:val="none"/>
              </w:rPr>
              <w:t>分</w:t>
            </w:r>
            <w:r>
              <w:rPr>
                <w:rFonts w:hint="eastAsia" w:ascii="宋体" w:hAnsi="宋体" w:cs="宋体"/>
                <w:bCs/>
                <w:color w:val="auto"/>
                <w:kern w:val="0"/>
                <w:sz w:val="22"/>
                <w:szCs w:val="22"/>
                <w:highlight w:val="none"/>
                <w:lang w:eastAsia="zh-CN"/>
              </w:rPr>
              <w:t>，</w:t>
            </w:r>
            <w:r>
              <w:rPr>
                <w:rFonts w:hint="eastAsia" w:ascii="宋体" w:hAnsi="宋体" w:eastAsia="宋体" w:cs="宋体"/>
                <w:bCs/>
                <w:color w:val="auto"/>
                <w:kern w:val="0"/>
                <w:sz w:val="22"/>
                <w:szCs w:val="22"/>
                <w:highlight w:val="none"/>
              </w:rPr>
              <w:t>每具有1名生态或环境类相关专业</w:t>
            </w:r>
            <w:r>
              <w:rPr>
                <w:rFonts w:hint="eastAsia" w:ascii="宋体" w:hAnsi="宋体" w:cs="宋体"/>
                <w:bCs/>
                <w:color w:val="auto"/>
                <w:kern w:val="0"/>
                <w:sz w:val="22"/>
                <w:szCs w:val="22"/>
                <w:highlight w:val="none"/>
                <w:lang w:val="en-US" w:eastAsia="zh-CN"/>
              </w:rPr>
              <w:t>初</w:t>
            </w:r>
            <w:r>
              <w:rPr>
                <w:rFonts w:hint="eastAsia" w:ascii="宋体" w:hAnsi="宋体" w:eastAsia="宋体" w:cs="宋体"/>
                <w:bCs/>
                <w:color w:val="auto"/>
                <w:kern w:val="0"/>
                <w:sz w:val="22"/>
                <w:szCs w:val="22"/>
                <w:highlight w:val="none"/>
              </w:rPr>
              <w:t>级专业技术职称人员得</w:t>
            </w:r>
            <w:r>
              <w:rPr>
                <w:rFonts w:hint="eastAsia" w:ascii="宋体" w:hAnsi="宋体" w:cs="宋体"/>
                <w:bCs/>
                <w:color w:val="auto"/>
                <w:kern w:val="0"/>
                <w:sz w:val="22"/>
                <w:szCs w:val="22"/>
                <w:highlight w:val="none"/>
                <w:lang w:val="en-US" w:eastAsia="zh-CN"/>
              </w:rPr>
              <w:t>1</w:t>
            </w:r>
            <w:r>
              <w:rPr>
                <w:rFonts w:hint="eastAsia" w:ascii="宋体" w:hAnsi="宋体" w:eastAsia="宋体" w:cs="宋体"/>
                <w:bCs/>
                <w:color w:val="auto"/>
                <w:kern w:val="0"/>
                <w:sz w:val="22"/>
                <w:szCs w:val="22"/>
                <w:highlight w:val="none"/>
              </w:rPr>
              <w:t>分。如一人具有多个同一等级技术职称的，按一个技术职称评审；不重复计分。</w:t>
            </w:r>
            <w:r>
              <w:rPr>
                <w:rFonts w:hint="eastAsia" w:ascii="宋体" w:hAnsi="宋体" w:cs="宋体"/>
                <w:bCs/>
                <w:color w:val="auto"/>
                <w:kern w:val="0"/>
                <w:sz w:val="22"/>
                <w:szCs w:val="22"/>
                <w:highlight w:val="none"/>
                <w:lang w:eastAsia="zh-CN"/>
              </w:rPr>
              <w:t>（</w:t>
            </w:r>
            <w:r>
              <w:rPr>
                <w:rFonts w:hint="eastAsia" w:ascii="宋体" w:hAnsi="宋体" w:eastAsia="宋体" w:cs="宋体"/>
                <w:bCs/>
                <w:color w:val="auto"/>
                <w:kern w:val="0"/>
                <w:sz w:val="22"/>
                <w:szCs w:val="22"/>
                <w:highlight w:val="none"/>
              </w:rPr>
              <w:t>本项最高得</w:t>
            </w:r>
            <w:r>
              <w:rPr>
                <w:rFonts w:hint="eastAsia" w:ascii="宋体" w:hAnsi="宋体" w:cs="宋体"/>
                <w:bCs/>
                <w:color w:val="auto"/>
                <w:kern w:val="0"/>
                <w:sz w:val="22"/>
                <w:szCs w:val="22"/>
                <w:highlight w:val="none"/>
                <w:lang w:val="en-US" w:eastAsia="zh-CN"/>
              </w:rPr>
              <w:t>15</w:t>
            </w:r>
            <w:r>
              <w:rPr>
                <w:rFonts w:hint="eastAsia" w:ascii="宋体" w:hAnsi="宋体" w:eastAsia="宋体" w:cs="宋体"/>
                <w:bCs/>
                <w:color w:val="auto"/>
                <w:kern w:val="0"/>
                <w:sz w:val="22"/>
                <w:szCs w:val="22"/>
                <w:highlight w:val="none"/>
              </w:rPr>
              <w:t>分</w:t>
            </w:r>
            <w:r>
              <w:rPr>
                <w:rFonts w:hint="eastAsia" w:ascii="宋体" w:hAnsi="宋体" w:cs="宋体"/>
                <w:bCs/>
                <w:color w:val="auto"/>
                <w:kern w:val="0"/>
                <w:sz w:val="22"/>
                <w:szCs w:val="22"/>
                <w:highlight w:val="none"/>
                <w:lang w:eastAsia="zh-CN"/>
              </w:rPr>
              <w:t>，</w:t>
            </w:r>
            <w:r>
              <w:rPr>
                <w:rFonts w:hint="eastAsia" w:ascii="宋体" w:hAnsi="宋体" w:eastAsia="宋体" w:cs="宋体"/>
                <w:bCs/>
                <w:color w:val="auto"/>
                <w:kern w:val="0"/>
                <w:sz w:val="22"/>
                <w:szCs w:val="22"/>
                <w:highlight w:val="none"/>
              </w:rPr>
              <w:t>无不得分</w:t>
            </w:r>
            <w:r>
              <w:rPr>
                <w:rFonts w:hint="eastAsia" w:ascii="宋体" w:hAnsi="宋体" w:cs="宋体"/>
                <w:bCs/>
                <w:color w:val="auto"/>
                <w:kern w:val="0"/>
                <w:sz w:val="22"/>
                <w:szCs w:val="22"/>
                <w:highlight w:val="none"/>
                <w:lang w:eastAsia="zh-CN"/>
              </w:rPr>
              <w:t>）</w:t>
            </w:r>
            <w:r>
              <w:rPr>
                <w:rFonts w:hint="eastAsia" w:ascii="宋体" w:hAnsi="宋体" w:eastAsia="宋体" w:cs="宋体"/>
                <w:bCs/>
                <w:color w:val="auto"/>
                <w:kern w:val="0"/>
                <w:sz w:val="22"/>
                <w:szCs w:val="22"/>
                <w:highlight w:val="none"/>
              </w:rPr>
              <w:t>。</w:t>
            </w:r>
          </w:p>
          <w:bookmarkEnd w:id="2"/>
          <w:p w14:paraId="10D0E5B5">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2"/>
                <w:szCs w:val="22"/>
                <w:highlight w:val="none"/>
              </w:rPr>
            </w:pPr>
            <w:r>
              <w:rPr>
                <w:rFonts w:hint="eastAsia" w:ascii="宋体" w:hAnsi="宋体" w:eastAsia="宋体" w:cs="宋体"/>
                <w:b/>
                <w:bCs w:val="0"/>
                <w:color w:val="auto"/>
                <w:kern w:val="0"/>
                <w:sz w:val="22"/>
                <w:szCs w:val="22"/>
                <w:highlight w:val="none"/>
                <w:lang w:val="en-US" w:eastAsia="zh-CN"/>
              </w:rPr>
              <w:t>注：须提供</w:t>
            </w:r>
            <w:r>
              <w:rPr>
                <w:rFonts w:hint="eastAsia" w:ascii="宋体" w:hAnsi="宋体" w:cs="宋体"/>
                <w:b/>
                <w:bCs w:val="0"/>
                <w:color w:val="auto"/>
                <w:kern w:val="0"/>
                <w:sz w:val="22"/>
                <w:szCs w:val="22"/>
                <w:highlight w:val="none"/>
                <w:lang w:val="en-US" w:eastAsia="zh-CN"/>
              </w:rPr>
              <w:t>相关</w:t>
            </w:r>
            <w:r>
              <w:rPr>
                <w:rFonts w:hint="eastAsia" w:ascii="宋体" w:hAnsi="宋体" w:eastAsia="宋体" w:cs="宋体"/>
                <w:b/>
                <w:bCs w:val="0"/>
                <w:color w:val="auto"/>
                <w:kern w:val="0"/>
                <w:sz w:val="22"/>
                <w:szCs w:val="22"/>
                <w:highlight w:val="none"/>
                <w:lang w:val="en-US" w:eastAsia="zh-CN"/>
              </w:rPr>
              <w:t>证</w:t>
            </w:r>
            <w:r>
              <w:rPr>
                <w:rFonts w:hint="eastAsia" w:ascii="宋体" w:hAnsi="宋体" w:cs="宋体"/>
                <w:b/>
                <w:bCs w:val="0"/>
                <w:color w:val="auto"/>
                <w:kern w:val="0"/>
                <w:sz w:val="22"/>
                <w:szCs w:val="22"/>
                <w:highlight w:val="none"/>
                <w:lang w:val="en-US" w:eastAsia="zh-CN"/>
              </w:rPr>
              <w:t>书</w:t>
            </w:r>
            <w:r>
              <w:rPr>
                <w:rFonts w:hint="eastAsia" w:ascii="宋体" w:hAnsi="宋体" w:eastAsia="宋体" w:cs="宋体"/>
                <w:b/>
                <w:bCs w:val="0"/>
                <w:color w:val="auto"/>
                <w:kern w:val="0"/>
                <w:sz w:val="22"/>
                <w:szCs w:val="22"/>
                <w:highlight w:val="none"/>
                <w:lang w:val="en-US" w:eastAsia="zh-CN"/>
              </w:rPr>
              <w:t>及</w:t>
            </w:r>
            <w:bookmarkEnd w:id="1"/>
            <w:r>
              <w:rPr>
                <w:rFonts w:hint="eastAsia" w:ascii="宋体" w:hAnsi="宋体" w:eastAsia="宋体" w:cs="宋体"/>
                <w:b/>
                <w:bCs w:val="0"/>
                <w:color w:val="auto"/>
                <w:kern w:val="0"/>
                <w:sz w:val="22"/>
                <w:szCs w:val="22"/>
                <w:highlight w:val="none"/>
                <w:lang w:val="en-US" w:eastAsia="zh-CN"/>
              </w:rPr>
              <w:t>本项目投标截止日前3个月内任意1个月的由</w:t>
            </w:r>
            <w:r>
              <w:rPr>
                <w:rFonts w:hint="eastAsia" w:ascii="宋体" w:hAnsi="宋体" w:cs="宋体"/>
                <w:b/>
                <w:bCs w:val="0"/>
                <w:color w:val="auto"/>
                <w:kern w:val="0"/>
                <w:sz w:val="22"/>
                <w:szCs w:val="22"/>
                <w:highlight w:val="none"/>
                <w:lang w:val="en-US" w:eastAsia="zh-CN"/>
              </w:rPr>
              <w:t>服务</w:t>
            </w:r>
            <w:r>
              <w:rPr>
                <w:rFonts w:hint="eastAsia" w:ascii="宋体" w:hAnsi="宋体" w:eastAsia="宋体" w:cs="宋体"/>
                <w:b/>
                <w:bCs w:val="0"/>
                <w:color w:val="auto"/>
                <w:kern w:val="0"/>
                <w:sz w:val="22"/>
                <w:szCs w:val="22"/>
                <w:highlight w:val="none"/>
                <w:lang w:val="en-US" w:eastAsia="zh-CN"/>
              </w:rPr>
              <w:t>商为其购买的社保证明加盖</w:t>
            </w:r>
            <w:r>
              <w:rPr>
                <w:rFonts w:hint="eastAsia" w:ascii="宋体" w:hAnsi="宋体" w:cs="宋体"/>
                <w:b/>
                <w:bCs w:val="0"/>
                <w:color w:val="auto"/>
                <w:kern w:val="0"/>
                <w:sz w:val="22"/>
                <w:szCs w:val="22"/>
                <w:highlight w:val="none"/>
                <w:lang w:val="en-US" w:eastAsia="zh-CN"/>
              </w:rPr>
              <w:t>服务商</w:t>
            </w:r>
            <w:r>
              <w:rPr>
                <w:rFonts w:hint="eastAsia" w:ascii="宋体" w:hAnsi="宋体" w:eastAsia="宋体" w:cs="宋体"/>
                <w:b/>
                <w:bCs w:val="0"/>
                <w:color w:val="auto"/>
                <w:kern w:val="0"/>
                <w:sz w:val="22"/>
                <w:szCs w:val="22"/>
                <w:highlight w:val="none"/>
                <w:lang w:val="en-US" w:eastAsia="zh-CN"/>
              </w:rPr>
              <w:t>公章，无或缺项或未按要求递交证明材料的不得分</w:t>
            </w:r>
          </w:p>
        </w:tc>
        <w:tc>
          <w:tcPr>
            <w:tcW w:w="709" w:type="dxa"/>
            <w:vAlign w:val="center"/>
          </w:tcPr>
          <w:p w14:paraId="755F8A9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2"/>
                <w:szCs w:val="22"/>
                <w:highlight w:val="none"/>
                <w:lang w:val="en-US" w:eastAsia="zh-CN"/>
              </w:rPr>
            </w:pPr>
            <w:r>
              <w:rPr>
                <w:rFonts w:hint="eastAsia" w:ascii="宋体" w:hAnsi="宋体" w:cs="宋体"/>
                <w:bCs/>
                <w:color w:val="auto"/>
                <w:kern w:val="0"/>
                <w:sz w:val="22"/>
                <w:szCs w:val="22"/>
                <w:highlight w:val="none"/>
                <w:lang w:val="en-US" w:eastAsia="zh-CN"/>
              </w:rPr>
              <w:t>20</w:t>
            </w:r>
          </w:p>
        </w:tc>
        <w:tc>
          <w:tcPr>
            <w:tcW w:w="709" w:type="dxa"/>
            <w:vAlign w:val="center"/>
          </w:tcPr>
          <w:p w14:paraId="34C14660">
            <w:pPr>
              <w:autoSpaceDE w:val="0"/>
              <w:autoSpaceDN w:val="0"/>
              <w:adjustRightInd w:val="0"/>
              <w:snapToGrid w:val="0"/>
              <w:spacing w:line="200" w:lineRule="exact"/>
              <w:ind w:left="-111" w:leftChars="-37" w:right="-105" w:rightChars="-35"/>
              <w:jc w:val="center"/>
              <w:rPr>
                <w:rFonts w:ascii="宋体" w:hAnsi="宋体" w:cs="宋体"/>
                <w:color w:val="auto"/>
                <w:kern w:val="0"/>
                <w:sz w:val="20"/>
                <w:szCs w:val="20"/>
                <w:highlight w:val="none"/>
              </w:rPr>
            </w:pPr>
          </w:p>
        </w:tc>
      </w:tr>
      <w:tr w14:paraId="0938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10663" w:type="dxa"/>
            <w:gridSpan w:val="5"/>
            <w:vAlign w:val="center"/>
          </w:tcPr>
          <w:p w14:paraId="75158735">
            <w:pPr>
              <w:autoSpaceDE w:val="0"/>
              <w:autoSpaceDN w:val="0"/>
              <w:adjustRightInd w:val="0"/>
              <w:snapToGrid w:val="0"/>
              <w:spacing w:line="200" w:lineRule="exact"/>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三、价格部分（</w:t>
            </w:r>
            <w:r>
              <w:rPr>
                <w:rFonts w:hint="eastAsia" w:ascii="宋体" w:hAnsi="宋体" w:cs="宋体"/>
                <w:b/>
                <w:color w:val="auto"/>
                <w:kern w:val="0"/>
                <w:sz w:val="20"/>
                <w:szCs w:val="20"/>
                <w:highlight w:val="none"/>
                <w:lang w:val="en-US" w:eastAsia="zh-CN"/>
              </w:rPr>
              <w:t>20</w:t>
            </w:r>
            <w:r>
              <w:rPr>
                <w:rFonts w:hint="eastAsia" w:ascii="宋体" w:hAnsi="宋体" w:cs="宋体"/>
                <w:b/>
                <w:color w:val="auto"/>
                <w:kern w:val="0"/>
                <w:sz w:val="20"/>
                <w:szCs w:val="20"/>
                <w:highlight w:val="none"/>
              </w:rPr>
              <w:t>分）</w:t>
            </w:r>
          </w:p>
        </w:tc>
      </w:tr>
      <w:tr w14:paraId="6161E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91" w:type="dxa"/>
            <w:vAlign w:val="center"/>
          </w:tcPr>
          <w:p w14:paraId="1F6D287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0"/>
                <w:szCs w:val="20"/>
                <w:highlight w:val="none"/>
                <w:lang w:val="en-US" w:eastAsia="zh-CN"/>
              </w:rPr>
            </w:pPr>
            <w:r>
              <w:rPr>
                <w:rFonts w:hint="eastAsia" w:ascii="宋体" w:hAnsi="宋体" w:eastAsia="宋体" w:cs="宋体"/>
                <w:bCs/>
                <w:color w:val="auto"/>
                <w:kern w:val="0"/>
                <w:sz w:val="20"/>
                <w:szCs w:val="20"/>
                <w:highlight w:val="none"/>
                <w:lang w:val="en-US" w:eastAsia="zh-CN"/>
              </w:rPr>
              <w:t>1</w:t>
            </w:r>
          </w:p>
        </w:tc>
        <w:tc>
          <w:tcPr>
            <w:tcW w:w="1073" w:type="dxa"/>
            <w:vAlign w:val="center"/>
          </w:tcPr>
          <w:p w14:paraId="5013DBA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lang w:val="en-US" w:eastAsia="zh-CN"/>
              </w:rPr>
              <w:t>价格得分</w:t>
            </w:r>
          </w:p>
        </w:tc>
        <w:tc>
          <w:tcPr>
            <w:tcW w:w="7481" w:type="dxa"/>
            <w:vAlign w:val="center"/>
          </w:tcPr>
          <w:p w14:paraId="199DFA82">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1"/>
                <w:szCs w:val="21"/>
                <w:highlight w:val="none"/>
              </w:rPr>
            </w:pPr>
            <w:bookmarkStart w:id="3" w:name="OLE_LINK2"/>
            <w:r>
              <w:rPr>
                <w:rFonts w:hint="eastAsia" w:ascii="宋体" w:hAnsi="宋体" w:eastAsia="宋体" w:cs="宋体"/>
                <w:bCs/>
                <w:color w:val="auto"/>
                <w:kern w:val="0"/>
                <w:sz w:val="21"/>
                <w:szCs w:val="21"/>
                <w:highlight w:val="none"/>
              </w:rPr>
              <w:t>采用低价优先法计算：</w:t>
            </w:r>
          </w:p>
          <w:p w14:paraId="03FB0ACE">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rPr>
              <w:t>投标报价得分=（评标基准价÷投标报价）×</w:t>
            </w:r>
            <w:r>
              <w:rPr>
                <w:rFonts w:hint="eastAsia" w:ascii="宋体" w:hAnsi="宋体" w:cs="宋体"/>
                <w:bCs/>
                <w:color w:val="auto"/>
                <w:kern w:val="0"/>
                <w:sz w:val="21"/>
                <w:szCs w:val="21"/>
                <w:highlight w:val="none"/>
                <w:lang w:val="en-US" w:eastAsia="zh-CN"/>
              </w:rPr>
              <w:t>20</w:t>
            </w:r>
          </w:p>
          <w:p w14:paraId="472BBA04">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评标基准价=满足招标文件要求且投标价格最低的投标报价。</w:t>
            </w:r>
          </w:p>
          <w:bookmarkEnd w:id="3"/>
          <w:p w14:paraId="2965EA28">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注：对符合规定的小型和微型企业（监狱企业、残疾人福利单位视同小型、微型企业）报价给予10%的价格扣除。因落实政府采购政策进行价格调整的，以调整后的价格计算评标基准价和投标报价。价格得分四舍五入后保留小数点后两位有效数。</w:t>
            </w:r>
          </w:p>
        </w:tc>
        <w:tc>
          <w:tcPr>
            <w:tcW w:w="709" w:type="dxa"/>
            <w:vAlign w:val="center"/>
          </w:tcPr>
          <w:p w14:paraId="1F21BB3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宋体" w:hAnsi="宋体" w:eastAsia="宋体" w:cs="宋体"/>
                <w:bCs/>
                <w:color w:val="auto"/>
                <w:kern w:val="0"/>
                <w:sz w:val="21"/>
                <w:szCs w:val="21"/>
                <w:highlight w:val="none"/>
                <w:lang w:val="en-US"/>
              </w:rPr>
            </w:pPr>
            <w:r>
              <w:rPr>
                <w:rFonts w:hint="eastAsia" w:ascii="宋体" w:hAnsi="宋体" w:cs="宋体"/>
                <w:bCs/>
                <w:color w:val="auto"/>
                <w:kern w:val="0"/>
                <w:sz w:val="21"/>
                <w:szCs w:val="21"/>
                <w:highlight w:val="none"/>
                <w:lang w:val="en-US" w:eastAsia="zh-CN"/>
              </w:rPr>
              <w:t>20</w:t>
            </w:r>
          </w:p>
        </w:tc>
        <w:tc>
          <w:tcPr>
            <w:tcW w:w="709" w:type="dxa"/>
            <w:vAlign w:val="center"/>
          </w:tcPr>
          <w:p w14:paraId="6B08DADC">
            <w:pPr>
              <w:autoSpaceDE w:val="0"/>
              <w:autoSpaceDN w:val="0"/>
              <w:adjustRightInd w:val="0"/>
              <w:snapToGrid w:val="0"/>
              <w:spacing w:line="200" w:lineRule="exact"/>
              <w:ind w:left="-111" w:leftChars="-37" w:right="-105" w:rightChars="-35"/>
              <w:jc w:val="center"/>
              <w:rPr>
                <w:rFonts w:ascii="宋体" w:hAnsi="宋体" w:cs="宋体"/>
                <w:color w:val="auto"/>
                <w:kern w:val="0"/>
                <w:sz w:val="20"/>
                <w:szCs w:val="20"/>
                <w:highlight w:val="none"/>
              </w:rPr>
            </w:pPr>
          </w:p>
        </w:tc>
      </w:tr>
      <w:tr w14:paraId="138C7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9245" w:type="dxa"/>
            <w:gridSpan w:val="3"/>
            <w:vAlign w:val="center"/>
          </w:tcPr>
          <w:p w14:paraId="54003457">
            <w:pPr>
              <w:autoSpaceDE w:val="0"/>
              <w:autoSpaceDN w:val="0"/>
              <w:adjustRightInd w:val="0"/>
              <w:snapToGrid w:val="0"/>
              <w:spacing w:line="200" w:lineRule="exact"/>
              <w:ind w:left="-111" w:leftChars="-37" w:right="-105" w:rightChars="-35"/>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合计</w:t>
            </w:r>
          </w:p>
        </w:tc>
        <w:tc>
          <w:tcPr>
            <w:tcW w:w="709" w:type="dxa"/>
            <w:vAlign w:val="center"/>
          </w:tcPr>
          <w:p w14:paraId="5842D867">
            <w:pPr>
              <w:autoSpaceDE w:val="0"/>
              <w:autoSpaceDN w:val="0"/>
              <w:adjustRightInd w:val="0"/>
              <w:snapToGrid w:val="0"/>
              <w:spacing w:line="200" w:lineRule="exact"/>
              <w:ind w:left="-111" w:leftChars="-37" w:right="-105" w:rightChars="-35"/>
              <w:jc w:val="center"/>
              <w:rPr>
                <w:rFonts w:ascii="宋体" w:hAnsi="宋体" w:cs="宋体"/>
                <w:b/>
                <w:color w:val="auto"/>
                <w:kern w:val="0"/>
                <w:sz w:val="20"/>
                <w:szCs w:val="20"/>
                <w:highlight w:val="none"/>
              </w:rPr>
            </w:pPr>
            <w:r>
              <w:rPr>
                <w:rFonts w:hint="eastAsia" w:ascii="宋体" w:hAnsi="宋体" w:cs="宋体"/>
                <w:b/>
                <w:color w:val="auto"/>
                <w:kern w:val="0"/>
                <w:sz w:val="20"/>
                <w:szCs w:val="20"/>
                <w:highlight w:val="none"/>
              </w:rPr>
              <w:t xml:space="preserve">100分 </w:t>
            </w:r>
          </w:p>
        </w:tc>
        <w:tc>
          <w:tcPr>
            <w:tcW w:w="709" w:type="dxa"/>
            <w:vAlign w:val="center"/>
          </w:tcPr>
          <w:p w14:paraId="0D7D98B2">
            <w:pPr>
              <w:autoSpaceDE w:val="0"/>
              <w:autoSpaceDN w:val="0"/>
              <w:adjustRightInd w:val="0"/>
              <w:snapToGrid w:val="0"/>
              <w:spacing w:line="200" w:lineRule="exact"/>
              <w:ind w:left="-111" w:leftChars="-37" w:right="-105" w:rightChars="-35"/>
              <w:jc w:val="center"/>
              <w:rPr>
                <w:rFonts w:ascii="宋体" w:hAnsi="宋体" w:cs="宋体"/>
                <w:b/>
                <w:color w:val="auto"/>
                <w:kern w:val="0"/>
                <w:sz w:val="20"/>
                <w:szCs w:val="20"/>
                <w:highlight w:val="none"/>
              </w:rPr>
            </w:pPr>
          </w:p>
        </w:tc>
      </w:tr>
    </w:tbl>
    <w:p w14:paraId="15A7FF45">
      <w:pPr>
        <w:widowControl/>
        <w:ind w:left="-1200" w:leftChars="-400" w:firstLine="0" w:firstLineChars="0"/>
        <w:jc w:val="both"/>
        <w:outlineLvl w:val="0"/>
        <w:rPr>
          <w:rFonts w:hint="eastAsia" w:ascii="宋体" w:hAnsi="宋体" w:cs="宋体"/>
          <w:color w:val="auto"/>
          <w:kern w:val="0"/>
          <w:sz w:val="21"/>
          <w:szCs w:val="21"/>
          <w:highlight w:val="none"/>
        </w:rPr>
      </w:pPr>
    </w:p>
    <w:p w14:paraId="5E783408">
      <w:pPr>
        <w:widowControl/>
        <w:ind w:left="-1200" w:leftChars="-400" w:right="-93" w:rightChars="-31" w:firstLine="0" w:firstLineChars="0"/>
        <w:jc w:val="both"/>
        <w:outlineLvl w:val="0"/>
        <w:rPr>
          <w:rFonts w:ascii="宋体" w:hAnsi="宋体" w:cs="宋体"/>
          <w:color w:val="auto"/>
          <w:kern w:val="0"/>
          <w:sz w:val="21"/>
          <w:szCs w:val="21"/>
          <w:highlight w:val="none"/>
        </w:rPr>
      </w:pPr>
      <w:r>
        <w:rPr>
          <w:rFonts w:hint="eastAsia" w:ascii="宋体" w:hAnsi="宋体" w:cs="宋体"/>
          <w:color w:val="auto"/>
          <w:kern w:val="0"/>
          <w:sz w:val="21"/>
          <w:szCs w:val="21"/>
          <w:highlight w:val="none"/>
        </w:rPr>
        <w:t>评审人签名：</w:t>
      </w:r>
      <w:r>
        <w:rPr>
          <w:rFonts w:hint="eastAsia" w:ascii="宋体" w:hAnsi="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rPr>
        <w:t>评审日期：       年     月     日</w:t>
      </w:r>
    </w:p>
    <w:p w14:paraId="20D7310E">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1B6B62"/>
    <w:rsid w:val="025A71A6"/>
    <w:rsid w:val="07537C49"/>
    <w:rsid w:val="08AD6221"/>
    <w:rsid w:val="095A2369"/>
    <w:rsid w:val="0B672837"/>
    <w:rsid w:val="140A6DEE"/>
    <w:rsid w:val="144A7E38"/>
    <w:rsid w:val="257F2970"/>
    <w:rsid w:val="2F414E54"/>
    <w:rsid w:val="31DB30C4"/>
    <w:rsid w:val="365A3471"/>
    <w:rsid w:val="36E3667F"/>
    <w:rsid w:val="37B82407"/>
    <w:rsid w:val="38DF3B98"/>
    <w:rsid w:val="3A3D1738"/>
    <w:rsid w:val="3E510C83"/>
    <w:rsid w:val="43590756"/>
    <w:rsid w:val="451B6B62"/>
    <w:rsid w:val="4DBD2033"/>
    <w:rsid w:val="4EC25F65"/>
    <w:rsid w:val="51E12B5B"/>
    <w:rsid w:val="55A2658D"/>
    <w:rsid w:val="5A7A715F"/>
    <w:rsid w:val="6714728E"/>
    <w:rsid w:val="6D91791B"/>
    <w:rsid w:val="6EE800E1"/>
    <w:rsid w:val="7AC22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0"/>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spacing w:before="997"/>
      <w:ind w:left="104"/>
    </w:pPr>
    <w:rPr>
      <w:rFonts w:ascii="宋体"/>
      <w:sz w:val="18"/>
    </w:rPr>
  </w:style>
  <w:style w:type="paragraph" w:styleId="3">
    <w:name w:val="Body Text"/>
    <w:basedOn w:val="1"/>
    <w:unhideWhenUsed/>
    <w:qFormat/>
    <w:uiPriority w:val="99"/>
    <w:pPr>
      <w:spacing w:after="120"/>
    </w:pPr>
  </w:style>
  <w:style w:type="paragraph" w:styleId="4">
    <w:name w:val="Plain Text"/>
    <w:basedOn w:val="1"/>
    <w:qFormat/>
    <w:uiPriority w:val="0"/>
    <w:rPr>
      <w:rFonts w:ascii="宋体" w:hAnsi="Courier New"/>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1158</Words>
  <Characters>1181</Characters>
  <Lines>0</Lines>
  <Paragraphs>0</Paragraphs>
  <TotalTime>3</TotalTime>
  <ScaleCrop>false</ScaleCrop>
  <LinksUpToDate>false</LinksUpToDate>
  <CharactersWithSpaces>1249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2023-05-17T03:35:00Z</dcterms:created>
  <dc:creator>李耀明</dc:creator>
  <cp:lastModifiedBy>Administrator</cp:lastModifiedBy>
  <dcterms:modified xsi:type="dcterms:W3CDTF">2026-10-26T01:30:15Z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ribbonExt">
    <vt:lpwstr>{"WPSExtOfficeTab":{"OnGetEnabled":false,"OnGetVisible":false}}</vt:lpwstr>
  </property>
  <property fmtid="{D5CDD505-2E9C-101B-9397-08002B2CF9AE}" pid="4" name="ICV">
    <vt:lpwstr>3797C8B355AE4C92A3967938D1490C8D_12</vt:lpwstr>
  </property>
  <property fmtid="{D5CDD505-2E9C-101B-9397-08002B2CF9AE}" pid="5" name="KSOTemplateDocerSaveRecord">
    <vt:lpwstr>eyJoZGlkIjoiMDkxZTY0MGUyZGVlZmZiOWQyZDAzNzUxYmFkMTM2OWUiLCJ1c2VySWQiOiIyNTUxNzIwNzQifQ==</vt:lpwstr>
  </property>
</Properties>
</file>