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B5412A"/>
    <w:p w14:paraId="20AA56CF">
      <w:r>
        <w:drawing>
          <wp:inline distT="0" distB="0" distL="114300" distR="114300">
            <wp:extent cx="8863330" cy="2483485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rcRect t="11396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2483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879595"/>
    <w:p w14:paraId="4C07C8F2"/>
    <w:p w14:paraId="3A1F121E"/>
    <w:p w14:paraId="6BFF6D56"/>
    <w:p w14:paraId="2BFFC4A1"/>
    <w:p w14:paraId="40646E9E"/>
    <w:p w14:paraId="10DACA05"/>
    <w:p w14:paraId="2DC3D60C"/>
    <w:p w14:paraId="4F04D11F"/>
    <w:p w14:paraId="5E5A3FB4"/>
    <w:p w14:paraId="1A2BA137"/>
    <w:p w14:paraId="4D801E62">
      <w:p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 w14:paraId="23C6E8EC">
      <w:pPr>
        <w:jc w:val="center"/>
        <w:rPr>
          <w:rFonts w:ascii="仿宋_GB2312" w:hAnsi="宋体" w:eastAsia="仿宋_GB2312" w:cs="宋体"/>
          <w:b/>
          <w:sz w:val="44"/>
          <w:szCs w:val="44"/>
        </w:rPr>
      </w:pPr>
      <w:bookmarkStart w:id="0" w:name="PO_part3DivNameYear1"/>
      <w:r>
        <w:rPr>
          <w:rFonts w:ascii="仿宋_GB2312" w:hAnsi="宋体" w:eastAsia="仿宋_GB2312" w:cs="宋体"/>
          <w:b/>
          <w:sz w:val="44"/>
          <w:szCs w:val="44"/>
        </w:rPr>
        <w:t>202</w:t>
      </w:r>
      <w:bookmarkEnd w:id="0"/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5</w:t>
      </w:r>
      <w:r>
        <w:rPr>
          <w:rFonts w:hint="eastAsia" w:ascii="仿宋_GB2312" w:hAnsi="宋体" w:eastAsia="仿宋_GB2312" w:cs="宋体"/>
          <w:b/>
          <w:sz w:val="44"/>
          <w:szCs w:val="44"/>
        </w:rPr>
        <w:t>年度财政拨款“三公”经费</w:t>
      </w:r>
    </w:p>
    <w:p w14:paraId="3D389730">
      <w:pPr>
        <w:jc w:val="center"/>
        <w:rPr>
          <w:rFonts w:ascii="仿宋_GB2312" w:hAnsi="宋体" w:eastAsia="仿宋_GB2312" w:cs="宋体"/>
          <w:b/>
          <w:sz w:val="44"/>
          <w:szCs w:val="44"/>
        </w:rPr>
      </w:pPr>
      <w:r>
        <w:rPr>
          <w:rFonts w:hint="eastAsia" w:ascii="仿宋_GB2312" w:hAnsi="宋体" w:eastAsia="仿宋_GB2312" w:cs="宋体"/>
          <w:b/>
          <w:sz w:val="44"/>
          <w:szCs w:val="44"/>
        </w:rPr>
        <w:t>支出决算情况说明</w:t>
      </w:r>
    </w:p>
    <w:p w14:paraId="7C3CFD36">
      <w:pPr>
        <w:rPr>
          <w:rFonts w:ascii="仿宋_GB2312" w:hAnsi="宋体" w:eastAsia="仿宋_GB2312" w:cs="宋体"/>
          <w:b/>
          <w:sz w:val="36"/>
          <w:szCs w:val="36"/>
        </w:rPr>
      </w:pPr>
    </w:p>
    <w:p w14:paraId="27A6C9D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方正仿宋_GB18030" w:hAnsi="方正仿宋_GB18030" w:eastAsia="方正仿宋_GB18030" w:cs="方正仿宋_GB18030"/>
          <w:b/>
          <w:sz w:val="32"/>
          <w:szCs w:val="32"/>
        </w:rPr>
      </w:pPr>
      <w:r>
        <w:rPr>
          <w:rFonts w:hint="eastAsia" w:ascii="方正仿宋_GB18030" w:hAnsi="方正仿宋_GB18030" w:eastAsia="方正仿宋_GB18030" w:cs="方正仿宋_GB18030"/>
          <w:b/>
          <w:sz w:val="32"/>
          <w:szCs w:val="32"/>
        </w:rPr>
        <w:t>一、“三公”经费财政拨款支出决算总体情况说明</w:t>
      </w:r>
    </w:p>
    <w:p w14:paraId="1056DE9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方正仿宋_GB18030" w:hAnsi="方正仿宋_GB18030" w:eastAsia="方正仿宋_GB18030" w:cs="方正仿宋_GB18030"/>
          <w:color w:val="000000"/>
          <w:kern w:val="0"/>
          <w:sz w:val="32"/>
          <w:szCs w:val="32"/>
          <w:lang w:val="en-US" w:eastAsia="zh-CN" w:bidi="ar"/>
        </w:rPr>
      </w:pPr>
      <w:bookmarkStart w:id="1" w:name="PO_part3A3B1C1Year1"/>
      <w:r>
        <w:rPr>
          <w:rFonts w:hint="eastAsia" w:ascii="方正仿宋_GB18030" w:hAnsi="方正仿宋_GB18030" w:eastAsia="方正仿宋_GB18030" w:cs="方正仿宋_GB18030"/>
          <w:color w:val="000000"/>
          <w:kern w:val="0"/>
          <w:sz w:val="32"/>
          <w:szCs w:val="32"/>
          <w:lang w:val="en-US" w:eastAsia="zh-CN" w:bidi="ar"/>
        </w:rPr>
        <w:t>江门市东湖公园管理所2025年度“三公”经费财政拨款支出 决算为0万元，完成全年预算0万元的--%（基数为0，不可比）， 比上年决算数增加0万元，增长--（基数为0，不可比）。其中：因公出国（境）费支出决算为0万元，完成预算0万元的--%（基数为0，不可比），比上年决算数增加0万元，增长--（基数为0，不可比）；公务用车购置及运行维护费支出决算为0万元，完成预算0万元的--%（基数为0，不可比），比上年决算数增加0万元，增长--（基数为0，不可比）；其中：公务用车购置支出决算为0万元，完成预算0万元的--%（基数为0，不可比），比上年决算数增加0万元，增长--（基数为0，不可比）；公务用车运行维护费支出决算为0万元，完成预算0万元的--%（基数为0，不可比），比上年决算数增加0万元，增长--（基数为0，不可比）；公务接待费支出决算为0万元，完成预算0万元的--%（基数为0，不可比），比上年决算数增加0万元，增长--（基数为0，不可比）。</w:t>
      </w:r>
    </w:p>
    <w:p w14:paraId="68BA782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方正仿宋_GB18030" w:hAnsi="方正仿宋_GB18030" w:eastAsia="方正仿宋_GB18030" w:cs="方正仿宋_GB1803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方正仿宋_GB18030" w:hAnsi="方正仿宋_GB18030" w:eastAsia="方正仿宋_GB18030" w:cs="方正仿宋_GB18030"/>
          <w:color w:val="000000"/>
          <w:kern w:val="0"/>
          <w:sz w:val="32"/>
          <w:szCs w:val="32"/>
          <w:lang w:val="en-US" w:eastAsia="zh-CN" w:bidi="ar"/>
        </w:rPr>
        <w:t xml:space="preserve">2025年度“三公”经费支出决算等于预算数的主要情况：认真贯彻落实中央八项规定精神和厉行节约的要求，从严控制“三公”经费开支，全年实际支出比预算有所节约。 </w:t>
      </w:r>
    </w:p>
    <w:p w14:paraId="6CD6AE7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方正仿宋_GB18030" w:hAnsi="方正仿宋_GB18030" w:eastAsia="方正仿宋_GB18030" w:cs="方正仿宋_GB18030"/>
          <w:sz w:val="32"/>
          <w:szCs w:val="32"/>
        </w:rPr>
      </w:pPr>
      <w:r>
        <w:rPr>
          <w:rFonts w:hint="eastAsia" w:ascii="方正仿宋_GB18030" w:hAnsi="方正仿宋_GB18030" w:eastAsia="方正仿宋_GB18030" w:cs="方正仿宋_GB18030"/>
          <w:color w:val="000000"/>
          <w:kern w:val="0"/>
          <w:sz w:val="32"/>
          <w:szCs w:val="32"/>
          <w:lang w:val="en-US" w:eastAsia="zh-CN" w:bidi="ar"/>
        </w:rPr>
        <w:t>2025年度“三公”经费支出决算等于上年决算数的主要情况：认真贯彻落实中央八项规定精神和厉行节约的要求，从严控制“三公”经费开支，全年实际支出比预算有所节约。</w:t>
      </w:r>
    </w:p>
    <w:bookmarkEnd w:id="1"/>
    <w:p w14:paraId="5056DC7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方正仿宋_GB18030" w:hAnsi="方正仿宋_GB18030" w:eastAsia="方正仿宋_GB18030" w:cs="方正仿宋_GB18030"/>
          <w:b/>
          <w:sz w:val="32"/>
          <w:szCs w:val="32"/>
        </w:rPr>
      </w:pPr>
      <w:r>
        <w:rPr>
          <w:rFonts w:hint="eastAsia" w:ascii="方正仿宋_GB18030" w:hAnsi="方正仿宋_GB18030" w:eastAsia="方正仿宋_GB18030" w:cs="方正仿宋_GB18030"/>
          <w:b/>
          <w:sz w:val="32"/>
          <w:szCs w:val="32"/>
        </w:rPr>
        <w:t>二、“三公”经费财政拨款支出决算具体情况说明</w:t>
      </w:r>
    </w:p>
    <w:p w14:paraId="382EA26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方正仿宋_GB18030" w:hAnsi="方正仿宋_GB18030" w:eastAsia="方正仿宋_GB18030" w:cs="方正仿宋_GB18030"/>
          <w:sz w:val="32"/>
          <w:szCs w:val="32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sz w:val="32"/>
          <w:szCs w:val="32"/>
          <w:lang w:val="en-US" w:eastAsia="zh-CN"/>
        </w:rPr>
        <w:t>2 0 2 5年度“三公”经费财政拨款支出决算中，因公出国（境）费0万元，占0%；公务用车购置及运行维护费支出0万元，占0%；公务接待费支出0万元，占0%。具体情况如下：</w:t>
      </w:r>
    </w:p>
    <w:p w14:paraId="79E2E23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方正仿宋_GB18030" w:hAnsi="方正仿宋_GB18030" w:eastAsia="方正仿宋_GB18030" w:cs="方正仿宋_GB18030"/>
          <w:sz w:val="32"/>
          <w:szCs w:val="32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sz w:val="32"/>
          <w:szCs w:val="32"/>
          <w:lang w:val="en-US" w:eastAsia="zh-CN"/>
        </w:rPr>
        <w:t>1.因公出国（境）费支出0万元。全年使用财政拨款安排出国（境）团组0个、累计0人次。</w:t>
      </w:r>
    </w:p>
    <w:p w14:paraId="146E131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方正仿宋_GB18030" w:hAnsi="方正仿宋_GB18030" w:eastAsia="方正仿宋_GB18030" w:cs="方正仿宋_GB18030"/>
          <w:sz w:val="32"/>
          <w:szCs w:val="32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sz w:val="32"/>
          <w:szCs w:val="32"/>
          <w:lang w:val="en-US" w:eastAsia="zh-CN"/>
        </w:rPr>
        <w:t>2.公务用车购置及运行维护费支出0万元，其中：公务用车购置支出为0万元，公务用车购置数0辆。公务用车运行维护费支出0万元，公务用车保有量为0辆，主要用于无公务用车。本单位账面有2辆绿化管理生产用车与1辆公园观光电瓶车，因不属于公务用车，所以公务用车保有量与国有资产占有情况中的车辆数不一致。</w:t>
      </w:r>
    </w:p>
    <w:p w14:paraId="6A47688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方正仿宋_GB18030" w:hAnsi="方正仿宋_GB18030" w:eastAsia="方正仿宋_GB18030" w:cs="方正仿宋_GB18030"/>
          <w:sz w:val="32"/>
          <w:szCs w:val="32"/>
          <w:lang w:val="en-US" w:eastAsia="zh-CN"/>
        </w:rPr>
      </w:pPr>
      <w:bookmarkStart w:id="2" w:name="_GoBack"/>
      <w:bookmarkEnd w:id="2"/>
      <w:r>
        <w:rPr>
          <w:rFonts w:hint="eastAsia" w:ascii="方正仿宋_GB18030" w:hAnsi="方正仿宋_GB18030" w:eastAsia="方正仿宋_GB18030" w:cs="方正仿宋_GB18030"/>
          <w:sz w:val="32"/>
          <w:szCs w:val="32"/>
          <w:lang w:val="en-US" w:eastAsia="zh-CN"/>
        </w:rPr>
        <w:t>3.公务接待费支出0万元，主要用于无公务接待，共接待国外、境外来访团组0个，来访外宾0人次；发生国内接待0次，接待人数共0人。主要包括我单位本年度无公务接待。</w:t>
      </w:r>
    </w:p>
    <w:p w14:paraId="1B4C444C">
      <w:pPr>
        <w:keepNext w:val="0"/>
        <w:keepLines w:val="0"/>
        <w:widowControl/>
        <w:suppressLineNumbers w:val="0"/>
        <w:jc w:val="left"/>
      </w:pPr>
    </w:p>
    <w:p w14:paraId="08F64B27"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</w:p>
    <w:sectPr>
      <w:pgSz w:w="11906" w:h="16838"/>
      <w:pgMar w:top="1440" w:right="1797" w:bottom="1440" w:left="1797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CDFC19C7-738A-4F75-82C1-757A54780209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大标宋_GBK">
    <w:panose1 w:val="02000000000000000000"/>
    <w:charset w:val="86"/>
    <w:family w:val="auto"/>
    <w:pitch w:val="default"/>
    <w:sig w:usb0="A00002BF" w:usb1="08CF7CFA" w:usb2="00000000" w:usb3="00000000" w:csb0="00040001" w:csb1="00000000"/>
  </w:font>
  <w:font w:name="方正仿宋_GB18030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06B7AF49-4554-46A0-A02D-504F420B7AF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3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rsids>
    <w:rsidRoot w:val="002D5A41"/>
    <w:rsid w:val="00062C1E"/>
    <w:rsid w:val="00086CDC"/>
    <w:rsid w:val="000E4D3C"/>
    <w:rsid w:val="001176CE"/>
    <w:rsid w:val="001C30CA"/>
    <w:rsid w:val="00223AA1"/>
    <w:rsid w:val="00281A4D"/>
    <w:rsid w:val="002A6048"/>
    <w:rsid w:val="002D5A41"/>
    <w:rsid w:val="003F04BC"/>
    <w:rsid w:val="00494DEF"/>
    <w:rsid w:val="00646E0F"/>
    <w:rsid w:val="006751F3"/>
    <w:rsid w:val="00781C29"/>
    <w:rsid w:val="008E7953"/>
    <w:rsid w:val="00922FBB"/>
    <w:rsid w:val="00AA53A4"/>
    <w:rsid w:val="00AB2F0A"/>
    <w:rsid w:val="00B204C9"/>
    <w:rsid w:val="00D10F6C"/>
    <w:rsid w:val="00EA60AF"/>
    <w:rsid w:val="00F049F3"/>
    <w:rsid w:val="113C4AC5"/>
    <w:rsid w:val="18E81A1A"/>
    <w:rsid w:val="48A73C3A"/>
    <w:rsid w:val="5DCD535C"/>
    <w:rsid w:val="611B4D6D"/>
    <w:rsid w:val="66A80546"/>
    <w:rsid w:val="6F924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B1A6B4-CD57-4C8B-81B7-E04879410F1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4</Pages>
  <Words>1207</Words>
  <Characters>1282</Characters>
  <Lines>9</Lines>
  <Paragraphs>2</Paragraphs>
  <TotalTime>242</TotalTime>
  <ScaleCrop>false</ScaleCrop>
  <LinksUpToDate>false</LinksUpToDate>
  <CharactersWithSpaces>1291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2023-10-17T01:26:00Z</dcterms:created>
  <dc:creator>微软用户</dc:creator>
  <cp:lastModifiedBy>肥cat.K</cp:lastModifiedBy>
  <dcterms:modified xsi:type="dcterms:W3CDTF">2026-10-10T09:09:57Z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eyJoZGlkIjoiMGViNWMzNjA2MjcwZGFkY2QwODQ0MGRjMjM4NTFmNGIiLCJ1c2VySWQiOiI1OTMxOTgzMTIifQ==</vt:lpwstr>
  </property>
  <property fmtid="{D5CDD505-2E9C-101B-9397-08002B2CF9AE}" pid="3" name="KSOProductBuildVer">
    <vt:lpwstr>2052-12.1.0.28505</vt:lpwstr>
  </property>
  <property fmtid="{D5CDD505-2E9C-101B-9397-08002B2CF9AE}" pid="4" name="ICV">
    <vt:lpwstr>EFB794EAD950485989FB9A74D4DA507B_12</vt:lpwstr>
  </property>
</Properties>
</file>