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1"/>
        <w:rPr>
          <w:rFonts w:hint="default" w:ascii="黑体" w:hAnsi="黑体" w:eastAsia="黑体"/>
          <w:sz w:val="32"/>
          <w:szCs w:val="32"/>
          <w:highlight w:val="none"/>
          <w:lang w:val="en-US" w:eastAsia="zh-CN"/>
        </w:rPr>
      </w:pPr>
      <w:bookmarkStart w:id="0" w:name="_GoBack"/>
      <w:bookmarkEnd w:id="0"/>
      <w:r>
        <w:rPr>
          <w:rFonts w:hint="eastAsia" w:ascii="黑体" w:hAnsi="黑体" w:eastAsia="黑体"/>
          <w:sz w:val="32"/>
          <w:szCs w:val="32"/>
          <w:highlight w:val="none"/>
        </w:rPr>
        <w:t>附件</w:t>
      </w:r>
      <w:r>
        <w:rPr>
          <w:rFonts w:hint="eastAsia" w:ascii="黑体" w:hAnsi="黑体" w:eastAsia="黑体"/>
          <w:sz w:val="32"/>
          <w:szCs w:val="32"/>
          <w:highlight w:val="none"/>
          <w:lang w:val="en-US" w:eastAsia="zh-CN"/>
        </w:rPr>
        <w:t>7</w:t>
      </w:r>
    </w:p>
    <w:p>
      <w:pPr>
        <w:ind w:firstLine="640" w:firstLineChars="200"/>
        <w:outlineLvl w:val="1"/>
        <w:rPr>
          <w:rFonts w:ascii="仿宋_GB2312" w:eastAsia="仿宋_GB2312"/>
          <w:sz w:val="32"/>
          <w:szCs w:val="32"/>
          <w:highlight w:val="none"/>
        </w:rPr>
      </w:pPr>
    </w:p>
    <w:p>
      <w:pPr>
        <w:jc w:val="left"/>
        <w:rPr>
          <w:rFonts w:ascii="仿宋_GB2312" w:hAnsi="宋体" w:eastAsia="仿宋_GB2312" w:cs="宋体"/>
          <w:kern w:val="0"/>
          <w:sz w:val="32"/>
          <w:szCs w:val="32"/>
          <w:highlight w:val="none"/>
          <w:lang w:val="zh-CN"/>
        </w:rPr>
      </w:pPr>
    </w:p>
    <w:p>
      <w:pPr>
        <w:jc w:val="center"/>
        <w:rPr>
          <w:rFonts w:ascii="宋体" w:hAnsi="宋体" w:eastAsia="宋体" w:cs="宋体"/>
          <w:b/>
          <w:kern w:val="0"/>
          <w:sz w:val="44"/>
          <w:szCs w:val="44"/>
          <w:highlight w:val="none"/>
          <w:lang w:val="zh-CN"/>
        </w:rPr>
      </w:pPr>
      <w:r>
        <w:rPr>
          <w:rFonts w:hint="eastAsia" w:ascii="宋体" w:hAnsi="宋体" w:eastAsia="宋体" w:cs="宋体"/>
          <w:b/>
          <w:kern w:val="0"/>
          <w:sz w:val="44"/>
          <w:szCs w:val="44"/>
          <w:highlight w:val="none"/>
          <w:lang w:val="zh-CN"/>
        </w:rPr>
        <w:t>部门整体支出绩效自评报告</w:t>
      </w:r>
    </w:p>
    <w:p>
      <w:pPr>
        <w:rPr>
          <w:rFonts w:ascii="宋体" w:hAnsi="宋体" w:eastAsia="宋体" w:cs="宋体"/>
          <w:kern w:val="0"/>
          <w:sz w:val="44"/>
          <w:szCs w:val="44"/>
          <w:highlight w:val="none"/>
          <w:lang w:val="zh-CN"/>
        </w:rPr>
      </w:pPr>
    </w:p>
    <w:p>
      <w:pPr>
        <w:rPr>
          <w:rFonts w:ascii="宋体" w:hAnsi="宋体" w:eastAsia="宋体" w:cs="宋体"/>
          <w:kern w:val="0"/>
          <w:sz w:val="44"/>
          <w:szCs w:val="44"/>
          <w:highlight w:val="none"/>
          <w:lang w:val="zh-CN"/>
        </w:rPr>
      </w:pPr>
    </w:p>
    <w:p>
      <w:pPr>
        <w:rPr>
          <w:rFonts w:ascii="宋体" w:hAnsi="宋体" w:eastAsia="宋体" w:cs="宋体"/>
          <w:kern w:val="0"/>
          <w:sz w:val="44"/>
          <w:szCs w:val="44"/>
          <w:highlight w:val="none"/>
          <w:lang w:val="zh-CN"/>
        </w:rPr>
      </w:pPr>
    </w:p>
    <w:p>
      <w:pPr>
        <w:rPr>
          <w:rFonts w:ascii="宋体" w:hAnsi="宋体" w:eastAsia="宋体" w:cs="宋体"/>
          <w:kern w:val="0"/>
          <w:sz w:val="44"/>
          <w:szCs w:val="44"/>
          <w:highlight w:val="none"/>
          <w:lang w:val="zh-CN"/>
        </w:rPr>
      </w:pPr>
    </w:p>
    <w:p>
      <w:pPr>
        <w:rPr>
          <w:rFonts w:ascii="宋体" w:hAnsi="宋体" w:eastAsia="宋体" w:cs="宋体"/>
          <w:kern w:val="0"/>
          <w:sz w:val="44"/>
          <w:szCs w:val="44"/>
          <w:highlight w:val="none"/>
          <w:lang w:val="zh-CN"/>
        </w:rPr>
      </w:pPr>
    </w:p>
    <w:p>
      <w:pPr>
        <w:rPr>
          <w:rFonts w:ascii="宋体" w:hAnsi="宋体" w:eastAsia="宋体" w:cs="宋体"/>
          <w:kern w:val="0"/>
          <w:sz w:val="44"/>
          <w:szCs w:val="44"/>
          <w:highlight w:val="none"/>
          <w:lang w:val="zh-CN"/>
        </w:rPr>
      </w:pPr>
    </w:p>
    <w:p>
      <w:pPr>
        <w:jc w:val="left"/>
        <w:rPr>
          <w:rFonts w:hint="eastAsia" w:ascii="仿宋_GB2312" w:eastAsia="仿宋_GB2312" w:cs="宋体"/>
          <w:kern w:val="0"/>
          <w:sz w:val="32"/>
          <w:szCs w:val="32"/>
          <w:highlight w:val="none"/>
          <w:lang w:val="zh-CN"/>
        </w:rPr>
      </w:pPr>
    </w:p>
    <w:p>
      <w:pPr>
        <w:jc w:val="left"/>
        <w:rPr>
          <w:rFonts w:hint="eastAsia" w:ascii="仿宋_GB2312" w:eastAsia="仿宋_GB2312" w:cs="宋体"/>
          <w:kern w:val="0"/>
          <w:sz w:val="32"/>
          <w:szCs w:val="32"/>
          <w:highlight w:val="none"/>
          <w:lang w:val="zh-CN"/>
        </w:rPr>
      </w:pPr>
    </w:p>
    <w:p>
      <w:pPr>
        <w:jc w:val="left"/>
        <w:rPr>
          <w:rFonts w:hint="eastAsia" w:ascii="仿宋_GB2312" w:eastAsia="仿宋_GB2312" w:cs="宋体"/>
          <w:kern w:val="0"/>
          <w:sz w:val="32"/>
          <w:szCs w:val="32"/>
          <w:highlight w:val="none"/>
          <w:lang w:val="zh-CN"/>
        </w:rPr>
      </w:pPr>
    </w:p>
    <w:p>
      <w:pPr>
        <w:jc w:val="left"/>
        <w:rPr>
          <w:rFonts w:hint="eastAsia" w:ascii="仿宋_GB2312" w:eastAsia="仿宋_GB2312" w:cs="宋体"/>
          <w:kern w:val="0"/>
          <w:sz w:val="32"/>
          <w:szCs w:val="32"/>
          <w:highlight w:val="none"/>
          <w:lang w:val="zh-CN"/>
        </w:rPr>
      </w:pPr>
    </w:p>
    <w:p>
      <w:pPr>
        <w:jc w:val="left"/>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部门名称：（公章）</w:t>
      </w:r>
    </w:p>
    <w:p>
      <w:pPr>
        <w:ind w:firstLine="0" w:firstLineChars="0"/>
        <w:jc w:val="left"/>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填报人：廖达君</w:t>
      </w:r>
    </w:p>
    <w:p>
      <w:pPr>
        <w:ind w:firstLine="0" w:firstLineChars="0"/>
        <w:jc w:val="left"/>
        <w:rPr>
          <w:rFonts w:hint="default"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zh-CN"/>
        </w:rPr>
        <w:t>联系电话：</w:t>
      </w:r>
      <w:r>
        <w:rPr>
          <w:rFonts w:hint="eastAsia" w:ascii="仿宋_GB2312" w:eastAsia="仿宋_GB2312" w:cs="宋体"/>
          <w:kern w:val="0"/>
          <w:sz w:val="32"/>
          <w:szCs w:val="32"/>
          <w:highlight w:val="none"/>
          <w:lang w:val="en-US" w:eastAsia="zh-CN"/>
        </w:rPr>
        <w:t>07503233701</w:t>
      </w:r>
    </w:p>
    <w:p>
      <w:pPr>
        <w:ind w:firstLine="0" w:firstLineChars="0"/>
        <w:jc w:val="left"/>
        <w:rPr>
          <w:rFonts w:hint="default" w:ascii="仿宋_GB2312" w:eastAsia="仿宋_GB2312" w:cs="宋体"/>
          <w:kern w:val="0"/>
          <w:sz w:val="32"/>
          <w:szCs w:val="32"/>
          <w:highlight w:val="none"/>
          <w:lang w:val="en-US" w:eastAsia="zh-CN"/>
        </w:rPr>
      </w:pPr>
      <w:r>
        <w:rPr>
          <w:rFonts w:hint="eastAsia" w:ascii="仿宋_GB2312" w:eastAsia="仿宋_GB2312" w:cs="宋体"/>
          <w:kern w:val="0"/>
          <w:sz w:val="32"/>
          <w:szCs w:val="32"/>
          <w:highlight w:val="none"/>
          <w:lang w:val="zh-CN"/>
        </w:rPr>
        <w:t>填报日期：</w:t>
      </w:r>
      <w:r>
        <w:rPr>
          <w:rFonts w:hint="eastAsia" w:ascii="仿宋_GB2312" w:eastAsia="仿宋_GB2312" w:cs="宋体"/>
          <w:kern w:val="0"/>
          <w:sz w:val="32"/>
          <w:szCs w:val="32"/>
          <w:highlight w:val="none"/>
          <w:lang w:val="en-US" w:eastAsia="zh-CN"/>
        </w:rPr>
        <w:t>2026年3月19日</w:t>
      </w:r>
    </w:p>
    <w:p>
      <w:pPr>
        <w:ind w:firstLine="3040" w:firstLineChars="950"/>
        <w:jc w:val="left"/>
        <w:rPr>
          <w:rFonts w:ascii="仿宋_GB2312" w:eastAsia="仿宋_GB2312" w:cs="宋体"/>
          <w:kern w:val="0"/>
          <w:sz w:val="32"/>
          <w:szCs w:val="32"/>
          <w:highlight w:val="none"/>
          <w:lang w:val="zh-CN"/>
        </w:rPr>
      </w:pPr>
    </w:p>
    <w:p>
      <w:pPr>
        <w:ind w:firstLine="640" w:firstLineChars="200"/>
        <w:rPr>
          <w:rFonts w:ascii="黑体" w:hAnsi="黑体" w:eastAsia="黑体" w:cs="宋体"/>
          <w:kern w:val="0"/>
          <w:sz w:val="32"/>
          <w:szCs w:val="32"/>
          <w:highlight w:val="none"/>
          <w:lang w:val="zh-CN"/>
        </w:rPr>
      </w:pPr>
      <w:r>
        <w:rPr>
          <w:rFonts w:hint="eastAsia" w:ascii="黑体" w:hAnsi="黑体" w:eastAsia="黑体" w:cs="宋体"/>
          <w:kern w:val="0"/>
          <w:sz w:val="32"/>
          <w:szCs w:val="32"/>
          <w:highlight w:val="none"/>
          <w:lang w:val="zh-CN"/>
        </w:rPr>
        <w:t>一、部门基本情况</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（一）部门职能</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kern w:val="0"/>
          <w:sz w:val="32"/>
          <w:szCs w:val="32"/>
          <w:lang w:val="zh-CN"/>
        </w:rPr>
      </w:pPr>
      <w:r>
        <w:rPr>
          <w:rFonts w:hint="default" w:ascii="Times New Roman" w:hAnsi="Times New Roman" w:eastAsia="方正仿宋_GBK" w:cs="Times New Roman"/>
          <w:kern w:val="0"/>
          <w:sz w:val="32"/>
          <w:szCs w:val="32"/>
          <w:lang w:val="zh-CN"/>
        </w:rPr>
        <w:t>江门市退役军人事务局成立于2019年1月9日，是主管全市退役军人工作的职能部门。主要职能：实施退役军人思想政治、管理保障等工作政策法规，褒扬彰显退役军人为党、国家和人民牺牲奉献的精神风范和价值导向，负责军队转业干部、复员干部、离退休干部、退役士兵的移交安置工作和自主择业退役军人服务管理、待遇保障工作，组织开展退役军人教育培训、优待抚恤、拥军优属工作等，负责烈士及退役军人荣誉奖励、军人公墓维护以及纪念活动等。</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（二）年度总体工作和重点工作任务</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i w:val="0"/>
          <w:iCs w:val="0"/>
          <w:color w:val="000000"/>
          <w:sz w:val="32"/>
          <w:szCs w:val="32"/>
          <w:highlight w:val="none"/>
          <w:lang w:val="en-US" w:eastAsia="zh-CN"/>
        </w:rPr>
        <w:t>2025年，市退役军人事务局全面贯彻落实党的二十届三中、四中全会精神，深入贯彻习近平总书记关于退役军人工作的重要论述</w:t>
      </w:r>
      <w:r>
        <w:rPr>
          <w:rFonts w:hint="default" w:ascii="Times New Roman" w:hAnsi="Times New Roman" w:eastAsia="方正仿宋_GBK" w:cs="Times New Roman"/>
          <w:kern w:val="0"/>
          <w:sz w:val="32"/>
          <w:szCs w:val="32"/>
          <w:lang w:val="zh-CN"/>
        </w:rPr>
        <w:t>，</w:t>
      </w:r>
      <w:r>
        <w:rPr>
          <w:rFonts w:hint="default" w:ascii="Times New Roman" w:hAnsi="Times New Roman" w:eastAsia="方正仿宋_GBK" w:cs="Times New Roman"/>
          <w:i w:val="0"/>
          <w:iCs w:val="0"/>
          <w:color w:val="000000"/>
          <w:sz w:val="32"/>
          <w:szCs w:val="32"/>
          <w:highlight w:val="none"/>
          <w:lang w:val="en-US" w:eastAsia="zh-CN"/>
        </w:rPr>
        <w:t>以发挥退役军人优势作用为重点，围绕让军人成为全社会尊崇的职业、让退役军人成为全社会尊重的人，推动全市退役军人工作高质量发展迈出更实步伐、取得更大成效。2025年，我市以全省第五名的优异成绩荣获第十二届“全国双拥模范城”荣誉称号。2025年，全市</w:t>
      </w:r>
      <w:r>
        <w:rPr>
          <w:rFonts w:hint="default" w:ascii="Times New Roman" w:hAnsi="Times New Roman" w:eastAsia="方正仿宋_GBK" w:cs="Times New Roman"/>
          <w:color w:val="000000"/>
          <w:kern w:val="2"/>
          <w:sz w:val="32"/>
          <w:szCs w:val="32"/>
          <w:lang w:val="en-US" w:eastAsia="zh-CN" w:bidi="ar-SA"/>
        </w:rPr>
        <w:t>落实军地互办实事“双清单”事项50件</w:t>
      </w:r>
      <w:r>
        <w:rPr>
          <w:rFonts w:hint="default" w:ascii="Times New Roman" w:hAnsi="Times New Roman" w:eastAsia="方正仿宋_GBK" w:cs="Times New Roman"/>
          <w:b w:val="0"/>
          <w:color w:val="000000"/>
          <w:kern w:val="2"/>
          <w:sz w:val="32"/>
          <w:szCs w:val="32"/>
          <w:lang w:val="en-US" w:eastAsia="zh-CN" w:bidi="ar-SA"/>
        </w:rPr>
        <w:t>。</w:t>
      </w:r>
      <w:r>
        <w:rPr>
          <w:rStyle w:val="7"/>
          <w:rFonts w:hint="default" w:ascii="Times New Roman" w:hAnsi="Times New Roman" w:eastAsia="方正仿宋_GBK" w:cs="Times New Roman"/>
          <w:b w:val="0"/>
          <w:bCs w:val="0"/>
          <w:i w:val="0"/>
          <w:iCs w:val="0"/>
          <w:caps w:val="0"/>
          <w:color w:val="000000"/>
          <w:spacing w:val="0"/>
          <w:kern w:val="0"/>
          <w:sz w:val="32"/>
          <w:szCs w:val="32"/>
          <w:lang w:val="en-US" w:eastAsia="zh-CN" w:bidi="ar"/>
        </w:rPr>
        <w:t>举办“戎耀湾区·筑业未来”2025年粤港澳大湾区退役军人及军属招聘活动暨军创企业·拥军企业展示交流会，累计吸引超万人次群众入场。</w:t>
      </w:r>
      <w:r>
        <w:rPr>
          <w:rFonts w:hint="default" w:ascii="Times New Roman" w:hAnsi="Times New Roman" w:eastAsia="方正仿宋_GBK" w:cs="Times New Roman"/>
          <w:color w:val="000000"/>
          <w:kern w:val="2"/>
          <w:sz w:val="32"/>
          <w:szCs w:val="32"/>
          <w:highlight w:val="none"/>
          <w:lang w:val="en-US" w:eastAsia="zh-CN" w:bidi="ar-SA"/>
        </w:rPr>
        <w:t>梳理制定“入伍-服役-退役-身后”“全链条”服务标准化事项清单，在全市23个镇级服务站试行，为基层服务提供规范化指引。开展退役军人常态化联系，动态掌握退役军人困难底数，</w:t>
      </w:r>
      <w:r>
        <w:rPr>
          <w:rFonts w:hint="default" w:ascii="Times New Roman" w:hAnsi="Times New Roman" w:eastAsia="方正仿宋_GBK" w:cs="Times New Roman"/>
          <w:b w:val="0"/>
          <w:bCs/>
          <w:kern w:val="0"/>
          <w:sz w:val="32"/>
          <w:szCs w:val="32"/>
          <w:lang w:val="en-US" w:eastAsia="zh-CN" w:bidi="ar"/>
        </w:rPr>
        <w:t>累计走访联系105191人次。帮扶救助困难退役军人386人次，</w:t>
      </w:r>
      <w:r>
        <w:rPr>
          <w:rFonts w:hint="default" w:ascii="Times New Roman" w:hAnsi="Times New Roman" w:eastAsia="方正仿宋_GBK" w:cs="Times New Roman"/>
          <w:color w:val="000000"/>
          <w:kern w:val="2"/>
          <w:sz w:val="32"/>
          <w:szCs w:val="32"/>
          <w:highlight w:val="none"/>
          <w:lang w:val="en-US" w:eastAsia="zh-CN" w:bidi="ar-SA"/>
        </w:rPr>
        <w:t>发放金额达237.30万元。</w:t>
      </w:r>
      <w:r>
        <w:rPr>
          <w:rFonts w:hint="default" w:ascii="Times New Roman" w:hAnsi="Times New Roman" w:eastAsia="方正仿宋_GBK" w:cs="Times New Roman"/>
          <w:sz w:val="32"/>
          <w:szCs w:val="32"/>
          <w:lang w:val="en-US" w:eastAsia="zh-CN"/>
        </w:rPr>
        <w:t>扎实推动服务退役军人“一件事”工作开展，推动落地落实，打造江门样板。</w:t>
      </w:r>
      <w:r>
        <w:rPr>
          <w:rFonts w:hint="default" w:ascii="Times New Roman" w:hAnsi="Times New Roman" w:eastAsia="方正仿宋_GBK" w:cs="Times New Roman"/>
          <w:color w:val="000000"/>
          <w:sz w:val="32"/>
          <w:szCs w:val="32"/>
          <w:lang w:val="en-US" w:eastAsia="zh-CN"/>
        </w:rPr>
        <w:t>发挥退役军人五种力量作用，鼓励优秀退役军人投身“百千万工程”，</w:t>
      </w:r>
      <w:r>
        <w:rPr>
          <w:rFonts w:hint="default" w:ascii="Times New Roman" w:hAnsi="Times New Roman" w:eastAsia="方正仿宋_GBK" w:cs="Times New Roman"/>
          <w:i w:val="0"/>
          <w:caps w:val="0"/>
          <w:color w:val="000000"/>
          <w:spacing w:val="0"/>
          <w:kern w:val="2"/>
          <w:sz w:val="32"/>
          <w:szCs w:val="32"/>
          <w:highlight w:val="none"/>
          <w:shd w:val="clear" w:color="auto" w:fill="auto"/>
          <w:lang w:val="en-US" w:eastAsia="zh-CN" w:bidi="ar-SA"/>
        </w:rPr>
        <w:t>全市村（社区）现</w:t>
      </w:r>
      <w:r>
        <w:rPr>
          <w:rFonts w:hint="default" w:ascii="Times New Roman" w:hAnsi="Times New Roman" w:eastAsia="方正仿宋_GBK" w:cs="Times New Roman"/>
          <w:color w:val="000000"/>
          <w:sz w:val="32"/>
          <w:szCs w:val="32"/>
          <w:lang w:bidi="ar-SA"/>
        </w:rPr>
        <w:t>有“兵委员”</w:t>
      </w:r>
      <w:r>
        <w:rPr>
          <w:rFonts w:hint="default" w:ascii="Times New Roman" w:hAnsi="Times New Roman" w:eastAsia="方正仿宋_GBK" w:cs="Times New Roman"/>
          <w:color w:val="000000"/>
          <w:kern w:val="2"/>
          <w:sz w:val="32"/>
          <w:szCs w:val="32"/>
          <w:highlight w:val="none"/>
          <w:lang w:val="en-US" w:eastAsia="zh-CN" w:bidi="ar-SA"/>
        </w:rPr>
        <w:t>1413</w:t>
      </w:r>
      <w:r>
        <w:rPr>
          <w:rFonts w:hint="default" w:ascii="Times New Roman" w:hAnsi="Times New Roman" w:eastAsia="方正仿宋_GBK" w:cs="Times New Roman"/>
          <w:color w:val="000000"/>
          <w:kern w:val="2"/>
          <w:sz w:val="32"/>
          <w:szCs w:val="32"/>
          <w:highlight w:val="none"/>
          <w:lang w:bidi="ar-SA"/>
        </w:rPr>
        <w:t>名</w:t>
      </w:r>
      <w:r>
        <w:rPr>
          <w:rFonts w:hint="default" w:ascii="Times New Roman" w:hAnsi="Times New Roman" w:eastAsia="方正仿宋_GBK" w:cs="Times New Roman"/>
          <w:color w:val="000000"/>
          <w:sz w:val="32"/>
          <w:szCs w:val="32"/>
          <w:lang w:bidi="ar-SA"/>
        </w:rPr>
        <w:t>，</w:t>
      </w:r>
      <w:r>
        <w:rPr>
          <w:rFonts w:hint="default" w:ascii="Times New Roman" w:hAnsi="Times New Roman" w:eastAsia="方正仿宋_GBK" w:cs="Times New Roman"/>
          <w:color w:val="000000"/>
          <w:sz w:val="32"/>
          <w:szCs w:val="32"/>
          <w:highlight w:val="none"/>
          <w:lang w:bidi="ar-SA"/>
        </w:rPr>
        <w:t>其中</w:t>
      </w:r>
      <w:r>
        <w:rPr>
          <w:rFonts w:hint="default" w:ascii="Times New Roman" w:hAnsi="Times New Roman" w:eastAsia="方正仿宋_GBK" w:cs="Times New Roman"/>
          <w:color w:val="000000"/>
          <w:kern w:val="2"/>
          <w:sz w:val="32"/>
          <w:szCs w:val="32"/>
          <w:highlight w:val="none"/>
          <w:lang w:bidi="ar-SA"/>
        </w:rPr>
        <w:t>“兵支书”</w:t>
      </w:r>
      <w:r>
        <w:rPr>
          <w:rFonts w:hint="default" w:ascii="Times New Roman" w:hAnsi="Times New Roman" w:eastAsia="方正仿宋_GBK" w:cs="Times New Roman"/>
          <w:color w:val="000000"/>
          <w:sz w:val="32"/>
          <w:szCs w:val="32"/>
          <w:highlight w:val="none"/>
          <w:lang w:val="en-US" w:eastAsia="zh-CN" w:bidi="ar-SA"/>
        </w:rPr>
        <w:t>295</w:t>
      </w:r>
      <w:r>
        <w:rPr>
          <w:rFonts w:hint="default" w:ascii="Times New Roman" w:hAnsi="Times New Roman" w:eastAsia="方正仿宋_GBK" w:cs="Times New Roman"/>
          <w:color w:val="000000"/>
          <w:sz w:val="32"/>
          <w:szCs w:val="32"/>
          <w:highlight w:val="none"/>
          <w:lang w:bidi="ar-SA"/>
        </w:rPr>
        <w:t>名，占</w:t>
      </w:r>
      <w:r>
        <w:rPr>
          <w:rFonts w:hint="default" w:ascii="Times New Roman" w:hAnsi="Times New Roman" w:eastAsia="方正仿宋_GBK" w:cs="Times New Roman"/>
          <w:color w:val="000000"/>
          <w:spacing w:val="0"/>
          <w:kern w:val="2"/>
          <w:sz w:val="32"/>
          <w:szCs w:val="32"/>
          <w:highlight w:val="none"/>
          <w:shd w:val="clear" w:color="auto" w:fill="auto"/>
          <w:lang w:eastAsia="zh-CN" w:bidi="ar-SA"/>
        </w:rPr>
        <w:t>比</w:t>
      </w:r>
      <w:r>
        <w:rPr>
          <w:rFonts w:hint="default" w:ascii="Times New Roman" w:hAnsi="Times New Roman" w:eastAsia="方正仿宋_GBK" w:cs="Times New Roman"/>
          <w:color w:val="000000"/>
          <w:sz w:val="32"/>
          <w:szCs w:val="32"/>
          <w:highlight w:val="none"/>
          <w:lang w:bidi="ar-SA"/>
        </w:rPr>
        <w:t>22.9%</w:t>
      </w:r>
      <w:r>
        <w:rPr>
          <w:rFonts w:hint="default" w:ascii="Times New Roman" w:hAnsi="Times New Roman" w:eastAsia="方正仿宋_GBK" w:cs="Times New Roman"/>
          <w:color w:val="000000"/>
          <w:sz w:val="32"/>
          <w:szCs w:val="32"/>
          <w:highlight w:val="none"/>
          <w:lang w:val="en-US" w:eastAsia="zh-CN"/>
        </w:rPr>
        <w:t>。</w:t>
      </w:r>
      <w:r>
        <w:rPr>
          <w:rFonts w:hint="default" w:ascii="Times New Roman" w:hAnsi="Times New Roman" w:eastAsia="方正仿宋_GBK" w:cs="Times New Roman"/>
          <w:color w:val="000000"/>
          <w:sz w:val="32"/>
          <w:szCs w:val="32"/>
          <w:lang w:eastAsia="zh-CN"/>
        </w:rPr>
        <w:t>开展退役军人党员结对帮扶重点服务对象工作，结对帮扶40名退役军人，</w:t>
      </w:r>
      <w:r>
        <w:rPr>
          <w:rFonts w:hint="default" w:ascii="Times New Roman" w:hAnsi="Times New Roman" w:eastAsia="方正仿宋_GBK" w:cs="Times New Roman"/>
          <w:color w:val="000000"/>
          <w:sz w:val="32"/>
          <w:szCs w:val="32"/>
          <w:lang w:val="en-US" w:eastAsia="zh-CN"/>
        </w:rPr>
        <w:t>切实解决一批退役军人实际困难。</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（三）部门整体支出绩效目标情况</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保障部门工作的正常开展，提升部门公共服务能力，做好拥军优属、优待抚恤工作，保障企业军转干部等退役军人干部的各项生活待遇，走访慰问军队、优抚对象，及时发放未就业随军家属生活补助、参战涉核退役人员补助等补助金，解决退役军人的生活、医疗等困难，加强双拥宣传教育，营造良好的双拥氛围，巩固全国双拥模范城创建成果。</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（四）部门整体支出情况（以决算数为统计口径）</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江门市退役军人事务局202</w:t>
      </w:r>
      <w:r>
        <w:rPr>
          <w:rFonts w:hint="default" w:ascii="Times New Roman" w:hAnsi="Times New Roman" w:eastAsia="方正仿宋_GBK" w:cs="Times New Roman"/>
          <w:kern w:val="0"/>
          <w:sz w:val="32"/>
          <w:szCs w:val="32"/>
          <w:highlight w:val="none"/>
          <w:lang w:val="en-US" w:eastAsia="zh-CN"/>
        </w:rPr>
        <w:t>5</w:t>
      </w:r>
      <w:r>
        <w:rPr>
          <w:rFonts w:hint="default" w:ascii="Times New Roman" w:hAnsi="Times New Roman" w:eastAsia="方正仿宋_GBK" w:cs="Times New Roman"/>
          <w:kern w:val="0"/>
          <w:sz w:val="32"/>
          <w:szCs w:val="32"/>
          <w:highlight w:val="none"/>
          <w:lang w:val="zh-CN"/>
        </w:rPr>
        <w:t>年部门财政预算安排</w:t>
      </w:r>
      <w:r>
        <w:rPr>
          <w:rFonts w:hint="default" w:ascii="Times New Roman" w:hAnsi="Times New Roman" w:eastAsia="方正仿宋_GBK" w:cs="Times New Roman"/>
          <w:b w:val="0"/>
          <w:bCs w:val="0"/>
          <w:kern w:val="0"/>
          <w:sz w:val="32"/>
          <w:szCs w:val="32"/>
          <w:highlight w:val="none"/>
        </w:rPr>
        <w:t>5028.98万元</w:t>
      </w:r>
      <w:r>
        <w:rPr>
          <w:rFonts w:hint="default" w:ascii="Times New Roman" w:hAnsi="Times New Roman" w:eastAsia="方正仿宋_GBK" w:cs="Times New Roman"/>
          <w:kern w:val="0"/>
          <w:sz w:val="32"/>
          <w:szCs w:val="32"/>
          <w:highlight w:val="none"/>
          <w:lang w:val="zh-CN"/>
        </w:rPr>
        <w:t>，其中基本支出预算</w:t>
      </w:r>
      <w:r>
        <w:rPr>
          <w:rFonts w:hint="default" w:ascii="Times New Roman" w:hAnsi="Times New Roman" w:eastAsia="方正仿宋_GBK" w:cs="Times New Roman"/>
          <w:b w:val="0"/>
          <w:bCs w:val="0"/>
          <w:kern w:val="0"/>
          <w:sz w:val="32"/>
          <w:szCs w:val="32"/>
          <w:highlight w:val="none"/>
        </w:rPr>
        <w:t>1300.91万元</w:t>
      </w:r>
      <w:r>
        <w:rPr>
          <w:rFonts w:hint="default" w:ascii="Times New Roman" w:hAnsi="Times New Roman" w:eastAsia="方正仿宋_GBK" w:cs="Times New Roman"/>
          <w:kern w:val="0"/>
          <w:sz w:val="32"/>
          <w:szCs w:val="32"/>
          <w:highlight w:val="none"/>
          <w:lang w:val="zh-CN"/>
        </w:rPr>
        <w:t>，占支出预算</w:t>
      </w:r>
      <w:r>
        <w:rPr>
          <w:rFonts w:hint="default" w:ascii="Times New Roman" w:hAnsi="Times New Roman" w:eastAsia="方正仿宋_GBK" w:cs="Times New Roman"/>
          <w:kern w:val="0"/>
          <w:sz w:val="32"/>
          <w:szCs w:val="32"/>
          <w:highlight w:val="none"/>
          <w:lang w:val="en-US" w:eastAsia="zh-CN"/>
        </w:rPr>
        <w:t>25.87</w:t>
      </w:r>
      <w:r>
        <w:rPr>
          <w:rFonts w:hint="default" w:ascii="Times New Roman" w:hAnsi="Times New Roman" w:eastAsia="方正仿宋_GBK" w:cs="Times New Roman"/>
          <w:kern w:val="0"/>
          <w:sz w:val="32"/>
          <w:szCs w:val="32"/>
          <w:highlight w:val="none"/>
          <w:lang w:val="zh-CN"/>
        </w:rPr>
        <w:t>%；项目支出预算</w:t>
      </w:r>
      <w:r>
        <w:rPr>
          <w:rFonts w:hint="default" w:ascii="Times New Roman" w:hAnsi="Times New Roman" w:eastAsia="方正仿宋_GBK" w:cs="Times New Roman"/>
          <w:b w:val="0"/>
          <w:bCs w:val="0"/>
          <w:kern w:val="0"/>
          <w:sz w:val="32"/>
          <w:szCs w:val="32"/>
          <w:highlight w:val="none"/>
        </w:rPr>
        <w:t>3728.06万元</w:t>
      </w:r>
      <w:r>
        <w:rPr>
          <w:rFonts w:hint="default" w:ascii="Times New Roman" w:hAnsi="Times New Roman" w:eastAsia="方正仿宋_GBK" w:cs="Times New Roman"/>
          <w:kern w:val="0"/>
          <w:sz w:val="32"/>
          <w:szCs w:val="32"/>
          <w:highlight w:val="none"/>
          <w:lang w:val="zh-CN"/>
        </w:rPr>
        <w:t>，占支出预算</w:t>
      </w:r>
      <w:r>
        <w:rPr>
          <w:rFonts w:hint="default" w:ascii="Times New Roman" w:hAnsi="Times New Roman" w:eastAsia="方正仿宋_GBK" w:cs="Times New Roman"/>
          <w:kern w:val="0"/>
          <w:sz w:val="32"/>
          <w:szCs w:val="32"/>
          <w:highlight w:val="none"/>
          <w:lang w:val="en-US" w:eastAsia="zh-CN"/>
        </w:rPr>
        <w:t>74.13</w:t>
      </w:r>
      <w:r>
        <w:rPr>
          <w:rFonts w:hint="default" w:ascii="Times New Roman" w:hAnsi="Times New Roman" w:eastAsia="方正仿宋_GBK" w:cs="Times New Roman"/>
          <w:kern w:val="0"/>
          <w:sz w:val="32"/>
          <w:szCs w:val="32"/>
          <w:highlight w:val="none"/>
          <w:lang w:val="zh-CN"/>
        </w:rPr>
        <w:t>%。年末支出</w:t>
      </w:r>
      <w:r>
        <w:rPr>
          <w:rFonts w:hint="default" w:ascii="Times New Roman" w:hAnsi="Times New Roman" w:eastAsia="方正仿宋_GBK" w:cs="Times New Roman"/>
          <w:b w:val="0"/>
          <w:bCs w:val="0"/>
          <w:kern w:val="0"/>
          <w:sz w:val="32"/>
          <w:szCs w:val="32"/>
          <w:highlight w:val="none"/>
        </w:rPr>
        <w:t>4771.26万元</w:t>
      </w:r>
      <w:r>
        <w:rPr>
          <w:rFonts w:hint="default" w:ascii="Times New Roman" w:hAnsi="Times New Roman" w:eastAsia="方正仿宋_GBK" w:cs="Times New Roman"/>
          <w:kern w:val="0"/>
          <w:sz w:val="32"/>
          <w:szCs w:val="32"/>
          <w:highlight w:val="none"/>
          <w:lang w:val="zh-CN"/>
        </w:rPr>
        <w:t>，其中基本支出</w:t>
      </w:r>
      <w:r>
        <w:rPr>
          <w:rFonts w:hint="default" w:ascii="Times New Roman" w:hAnsi="Times New Roman" w:eastAsia="方正仿宋_GBK" w:cs="Times New Roman"/>
          <w:b w:val="0"/>
          <w:bCs w:val="0"/>
          <w:kern w:val="0"/>
          <w:sz w:val="32"/>
          <w:szCs w:val="32"/>
          <w:highlight w:val="none"/>
        </w:rPr>
        <w:t>1345.34万元</w:t>
      </w:r>
      <w:r>
        <w:rPr>
          <w:rFonts w:hint="default" w:ascii="Times New Roman" w:hAnsi="Times New Roman" w:eastAsia="方正仿宋_GBK" w:cs="Times New Roman"/>
          <w:kern w:val="0"/>
          <w:sz w:val="32"/>
          <w:szCs w:val="32"/>
          <w:highlight w:val="none"/>
          <w:lang w:val="zh-CN"/>
        </w:rPr>
        <w:t>，占总支出的</w:t>
      </w:r>
      <w:r>
        <w:rPr>
          <w:rFonts w:hint="default" w:ascii="Times New Roman" w:hAnsi="Times New Roman" w:eastAsia="方正仿宋_GBK" w:cs="Times New Roman"/>
          <w:kern w:val="0"/>
          <w:sz w:val="32"/>
          <w:szCs w:val="32"/>
          <w:highlight w:val="none"/>
          <w:lang w:val="en-US" w:eastAsia="zh-CN"/>
        </w:rPr>
        <w:t>28.20</w:t>
      </w:r>
      <w:r>
        <w:rPr>
          <w:rFonts w:hint="default" w:ascii="Times New Roman" w:hAnsi="Times New Roman" w:eastAsia="方正仿宋_GBK" w:cs="Times New Roman"/>
          <w:kern w:val="0"/>
          <w:sz w:val="32"/>
          <w:szCs w:val="32"/>
          <w:highlight w:val="none"/>
          <w:lang w:val="zh-CN"/>
        </w:rPr>
        <w:t>%，项目支出</w:t>
      </w:r>
      <w:r>
        <w:rPr>
          <w:rFonts w:hint="default" w:ascii="Times New Roman" w:hAnsi="Times New Roman" w:eastAsia="方正仿宋_GBK" w:cs="Times New Roman"/>
          <w:b w:val="0"/>
          <w:bCs w:val="0"/>
          <w:kern w:val="0"/>
          <w:sz w:val="32"/>
          <w:szCs w:val="32"/>
          <w:highlight w:val="none"/>
        </w:rPr>
        <w:t>3425.93万元</w:t>
      </w:r>
      <w:r>
        <w:rPr>
          <w:rFonts w:hint="default" w:ascii="Times New Roman" w:hAnsi="Times New Roman" w:eastAsia="方正仿宋_GBK" w:cs="Times New Roman"/>
          <w:kern w:val="0"/>
          <w:sz w:val="32"/>
          <w:szCs w:val="32"/>
          <w:highlight w:val="none"/>
          <w:lang w:val="zh-CN"/>
        </w:rPr>
        <w:t>，占总支出的</w:t>
      </w:r>
      <w:r>
        <w:rPr>
          <w:rFonts w:hint="default" w:ascii="Times New Roman" w:hAnsi="Times New Roman" w:eastAsia="方正仿宋_GBK" w:cs="Times New Roman"/>
          <w:kern w:val="0"/>
          <w:sz w:val="32"/>
          <w:szCs w:val="32"/>
          <w:highlight w:val="none"/>
          <w:lang w:val="en-US" w:eastAsia="zh-CN"/>
        </w:rPr>
        <w:t>71.80</w:t>
      </w:r>
      <w:r>
        <w:rPr>
          <w:rFonts w:hint="default" w:ascii="Times New Roman" w:hAnsi="Times New Roman" w:eastAsia="方正仿宋_GBK" w:cs="Times New Roman"/>
          <w:kern w:val="0"/>
          <w:sz w:val="32"/>
          <w:szCs w:val="32"/>
          <w:highlight w:val="none"/>
          <w:lang w:val="zh-CN"/>
        </w:rPr>
        <w:t>%。收支减少的主要原因是励行节约，压减非必要支出。</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方正仿宋_GBK" w:cs="Times New Roman"/>
          <w:kern w:val="0"/>
          <w:sz w:val="32"/>
          <w:szCs w:val="32"/>
          <w:lang w:val="zh-CN"/>
        </w:rPr>
      </w:pPr>
      <w:r>
        <w:rPr>
          <w:rFonts w:hint="default" w:ascii="Times New Roman" w:hAnsi="Times New Roman" w:eastAsia="方正仿宋_GBK" w:cs="Times New Roman"/>
          <w:kern w:val="0"/>
          <w:sz w:val="32"/>
          <w:szCs w:val="32"/>
          <w:lang w:val="zh-CN"/>
        </w:rPr>
        <w:t>202</w:t>
      </w:r>
      <w:r>
        <w:rPr>
          <w:rFonts w:hint="default" w:ascii="Times New Roman" w:hAnsi="Times New Roman" w:eastAsia="方正仿宋_GBK" w:cs="Times New Roman"/>
          <w:kern w:val="0"/>
          <w:sz w:val="32"/>
          <w:szCs w:val="32"/>
          <w:lang w:val="en-US" w:eastAsia="zh-CN"/>
        </w:rPr>
        <w:t>5</w:t>
      </w:r>
      <w:r>
        <w:rPr>
          <w:rFonts w:hint="default" w:ascii="Times New Roman" w:hAnsi="Times New Roman" w:eastAsia="方正仿宋_GBK" w:cs="Times New Roman"/>
          <w:kern w:val="0"/>
          <w:sz w:val="32"/>
          <w:szCs w:val="32"/>
          <w:lang w:val="zh-CN"/>
        </w:rPr>
        <w:t>年项目支出情况及成效亮点如下：</w:t>
      </w:r>
    </w:p>
    <w:p>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企业军转干部困难补助、职级补贴、医疗和养老补助1066.97万元，用于每月按标准向符合条件的地方企业军转干部发放生活困难补贴，2025年解决315名企业军转干部困难生活补助；春节八一各发放1000元/人的节日补贴，另上门走访慰问100户；组织年度健康检查，标准为500元/人，具体费用按实际参加体检人数结算；对家庭重大变故、重病等企业军转干部进行一次性临时救助。</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成效亮点：进一步体现了党委政府对企业军转干部的关心关爱，部分企业军转干部解困工作得到加强，有效确保我市辖区内企业军转干部信访矛盾及时化解，保障了我市社会和谐稳定。</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2、军队转业干部安置专项经费4.6万元，主要用于当年度营级及转业军官参加省统一选岗考试考务费用，包括考场费、劳务费、食宿费等；聘用第三方整理转业干部档案资料；用于地方财政补充当年度转业干部适应性培训费用等。</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成效亮点：按时高效完成了省下达我市军队转业军官接收安置工作，进一步帮助转业军官尽快实现从军事人才向地方人才的角色转变，完成年度16名军转干部安置工作。</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 xml:space="preserve">3、春节、八一慰问军队367.2万元，向共计3927名官兵发放慰问品，慰问基层部队，并设计制作八一慰问信、宣传海报。 </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成效亮点：切实把“让军人成为全社会尊崇的职业”落到了实处，“军爱民、民拥军”的社会氛围更加浓厚，驻江门部队对江门双拥工作给予高度评价。</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4、春节八一拥军优属慰问活动经费17万元，主要用于军休干部及军休干部遗属的春节、八一慰问金发放，以及八一座谈会和上门走访慰问活动。</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军休工作相关政策和军休干部“两个待遇”得到有效落实，通过春节、八一等重大节日开展走访慰问活动，及时传达党委政府的关怀与问候，表达对他们的崇敬、关爱之情，提升了军休干部幸福感、荣誉感和获得感。</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5、双拥业务费（含双拥办日常工作经费）87.82 万元，重点用于开展各类双拥主题宣传活动、编印双拥系列宣传刊物、为优抚对象赠阅党报等工作，为双拥工作高质量开展提供坚实保障。</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持续强化双拥工作理论宣传、新闻宣传、社会宣传、文艺宣传四大宣传阵地建设，不断丰富双拥国防教育形式与内容，广泛传播双拥理念、讲好双拥故事。通过多维度、全覆盖的宣传引导，进一步营造了拥军优属、拥政爱民、尊崇军人的浓厚社会氛围，推动双拥工作走深走实。</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6、双拥保障金8万元，为现役军人、军属、退役军人解决医疗、生活、住房等困难问题。</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成效亮点：通过做好现役军人、军属、退役军人的应急救助，有效解决了现役军人、军属、退役军人的实际困难，提升了现役军人、军属、退役军人的获得感、幸福感。</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7、开展军地两用人才工作培训16万元，开展军地两用培训共计25人。</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通过举办高含金量、高认可度的“中型超视距多旋翼无人机飞手”培训班，为部队培养持证无人机操作员</w:t>
      </w:r>
      <w:r>
        <w:rPr>
          <w:rFonts w:hint="default" w:ascii="Times New Roman" w:hAnsi="Times New Roman" w:eastAsia="方正仿宋_GBK" w:cs="Times New Roman"/>
          <w:color w:val="000000" w:themeColor="text1"/>
          <w:kern w:val="0"/>
          <w:sz w:val="32"/>
          <w:szCs w:val="32"/>
          <w:highlight w:val="none"/>
          <w:lang w:val="en-US" w:eastAsia="zh-CN"/>
          <w14:textFill>
            <w14:solidFill>
              <w14:schemeClr w14:val="tx1"/>
            </w14:solidFill>
          </w14:textFill>
        </w:rPr>
        <w:t>25</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名，提供搜索定位、物资投送、灾情评估与测绘、救援行动辅助、航拍等支持，为部队培养急需人才。实现了更好地服务军队国防建设、促进军地融合发展、推动双拥工作发展的目的，在全社会形成良好拥军氛围，打造“全域覆盖、全时待命”的双拥应急立体化空中勤务线</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8、双拥常态化创建委托业务费46.34万元，</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委托江门市爱国拥军促进会承接双拥常态化创建相关工作。通过电话联系、上门走访、座谈交流等方式，加强与驻江门部队、双拥成员单位的沟通联络，及时传递双拥政策；广泛开展社会化拥军，组织爱国拥军组织、爱心企业走进军营，开展共建联谊、走访慰问、红色教育、军事日等活动；协助做好双拥信息化系统平台档案收集、整理、汇总，配合完成全国双拥模范城中期调研考评；负责双拥专栏日常维护、运营与管理；培育打造双拥文化品牌，创作双拥文艺作品、撰写宣传稿件；协助开展全市双拥模范城考核及县域经济考核中双拥相关工作，做好考核资料归集、梳理与汇总</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通过委托专业社会组织开展双拥常态化创建，有效密切了军地联系、深化了军地融合，规范了双拥信息化平台建设管理，丰富了双拥文化载体与品牌内涵，提升了双拥宣传影响力，进一步浓厚了拥军优属、拥政爱民的社会氛围，为持续巩固提升全国双拥模范城创建成果、顺利推进各项考评工作夯实了坚实基础</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9、未就业随军家属生活补助资金74.05万元，</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202</w:t>
      </w:r>
      <w:r>
        <w:rPr>
          <w:rFonts w:hint="default" w:ascii="Times New Roman" w:hAnsi="Times New Roman" w:eastAsia="方正仿宋_GBK" w:cs="Times New Roman"/>
          <w:color w:val="000000" w:themeColor="text1"/>
          <w:kern w:val="0"/>
          <w:sz w:val="32"/>
          <w:szCs w:val="32"/>
          <w:highlight w:val="none"/>
          <w:lang w:val="en-US" w:eastAsia="zh-CN"/>
          <w14:textFill>
            <w14:solidFill>
              <w14:schemeClr w14:val="tx1"/>
            </w14:solidFill>
          </w14:textFill>
        </w:rPr>
        <w:t>5</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年</w:t>
      </w:r>
      <w:r>
        <w:rPr>
          <w:rFonts w:hint="default" w:ascii="Times New Roman" w:hAnsi="Times New Roman" w:eastAsia="方正仿宋_GBK" w:cs="Times New Roman"/>
          <w:color w:val="000000" w:themeColor="text1"/>
          <w:kern w:val="0"/>
          <w:sz w:val="32"/>
          <w:szCs w:val="32"/>
          <w:highlight w:val="none"/>
          <w:lang w:val="en-US" w:eastAsia="zh-CN"/>
          <w14:textFill>
            <w14:solidFill>
              <w14:schemeClr w14:val="tx1"/>
            </w14:solidFill>
          </w14:textFill>
        </w:rPr>
        <w:t>1-2月份</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未就业随军补助标准为1376元/人/月，</w:t>
      </w:r>
      <w:r>
        <w:rPr>
          <w:rFonts w:hint="default" w:ascii="Times New Roman" w:hAnsi="Times New Roman" w:eastAsia="方正仿宋_GBK" w:cs="Times New Roman"/>
          <w:color w:val="000000" w:themeColor="text1"/>
          <w:kern w:val="0"/>
          <w:sz w:val="32"/>
          <w:szCs w:val="32"/>
          <w:highlight w:val="none"/>
          <w:lang w:val="en-US" w:eastAsia="zh-CN"/>
          <w14:textFill>
            <w14:solidFill>
              <w14:schemeClr w14:val="tx1"/>
            </w14:solidFill>
          </w14:textFill>
        </w:rPr>
        <w:t>3月份增长为1480元</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/人/月，发放未就业随军家属补助</w:t>
      </w:r>
      <w:r>
        <w:rPr>
          <w:rFonts w:hint="default" w:ascii="Times New Roman" w:hAnsi="Times New Roman" w:eastAsia="方正仿宋_GBK" w:cs="Times New Roman"/>
          <w:color w:val="000000" w:themeColor="text1"/>
          <w:kern w:val="0"/>
          <w:sz w:val="32"/>
          <w:szCs w:val="32"/>
          <w:highlight w:val="none"/>
          <w:lang w:val="en-US" w:eastAsia="zh-CN"/>
          <w14:textFill>
            <w14:solidFill>
              <w14:schemeClr w14:val="tx1"/>
            </w14:solidFill>
          </w14:textFill>
        </w:rPr>
        <w:t>138</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人次</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未就业随军家属补助100%发放到位，进一步减少、解决军人后顾之忧，为军人排忧解难，让军人更安心工作，提升了驻军部队官兵的获得感、幸福感和军属的优越感，有助于“让军人成为全社会尊崇的职业”的工作目标的推进落实。</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10、烈士纪念设施修缮管理维护费(含烈士公祭日、江门市英烈网建设维护费）23万元，</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委托江门市东湖管理所和江门市爱国拥军促进会分别对英雄山烈士陵园和邵荣雁烈士墓进行日常管理服务，开展了清明祭英烈、930烈士公祭活动，赴广西祭扫江门籍烈士</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000000" w:themeColor="text1"/>
          <w:kern w:val="0"/>
          <w:sz w:val="32"/>
          <w:szCs w:val="32"/>
          <w:highlight w:val="none"/>
          <w:lang w:val="zh-CN"/>
          <w14:textFill>
            <w14:solidFill>
              <w14:schemeClr w14:val="tx1"/>
            </w14:solidFill>
          </w14:textFill>
        </w:rPr>
        <w:t>通过加强烈士纪念设施修缮管护、规范运维管理和常态化纪念活动开展，进一步筑牢红色教育载体，有力传承弘扬革命英烈精神和爱国主义传统，在全社会营造缅怀英烈、尊崇英雄、关爱烈属的浓厚氛围，有效凝聚起爱国拥军、崇德向善的社会共识，充分彰显了社会组织在传承红色基因、服务国防和军队建设中的责任担当</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11、走访慰问重点优抚对象经费84.85万元，春节、八一期间开展大走访慰问活动，邀请市四套领导班子、双拥成员单位、社会热心企业和热心人士，对我市低保特困退役军人、困难退役军人、烈属、二等以上功臣、残疾军人和江门市级最美退役军人、最美军人家庭、最美兵支书进行慰问，传递党和政府对退役军人的关怀。</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有效传递党和政府对退役军人的关怀，弘扬拥军优属的优良传统，维护良好的军政军民关系，不断强化军人荣誉，营造了全社会尊重退役军人的浓厚氛围。通过走访慰问退役军人活动，及时了解退役军人的思想、生活和诉求情况，增强了解决退役军人实际问题的针对性和时效性。</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12、80岁以上高龄退役军人养老保险经费40万元，由市退役军人事务局为我市</w:t>
      </w:r>
      <w:r>
        <w:rPr>
          <w:rFonts w:hint="default" w:ascii="Times New Roman" w:hAnsi="Times New Roman" w:eastAsia="方正仿宋_GBK" w:cs="Times New Roman"/>
          <w:kern w:val="0"/>
          <w:sz w:val="32"/>
          <w:szCs w:val="32"/>
          <w:highlight w:val="none"/>
          <w:u w:val="none"/>
          <w:lang w:val="en-US" w:eastAsia="zh-CN"/>
        </w:rPr>
        <w:t>7400</w:t>
      </w:r>
      <w:r>
        <w:rPr>
          <w:rFonts w:hint="default" w:ascii="Times New Roman" w:hAnsi="Times New Roman" w:eastAsia="方正仿宋_GBK" w:cs="Times New Roman"/>
          <w:kern w:val="0"/>
          <w:sz w:val="32"/>
          <w:szCs w:val="32"/>
          <w:highlight w:val="none"/>
          <w:lang w:val="en-US" w:eastAsia="zh-CN"/>
        </w:rPr>
        <w:t>个80岁以上退役军人高龄退役军人投保。</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打造了全国首个80周岁以上孤老（独居）退役军人保险服务全覆盖城市，进一步树立尊老、敬老、爱老的良好风气，切实提高高龄退役军人的保险意识，为高龄退役军人安享晚年提供有力保障，体现了党委政府对退役军人的关心关爱，提升高龄退役军人的幸福感，营造了良好的拥军优属社会氛围。</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13、信访经费4.3万元，根据市信访工作领导小组工作需要，两会、国庆等期间派工作人员去北京、广州驻点开展安保工作。</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成效亮点：通过在“两会”、“国庆”期间派员到广州、北京驻点，劝返进京上访人员，确保了“两会”、“国庆”顺利开展，确保了涉军群体稳定。</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14、聘请律师提供法律服务4.76万元，</w:t>
      </w:r>
      <w:r>
        <w:rPr>
          <w:rFonts w:hint="default" w:ascii="Times New Roman" w:hAnsi="Times New Roman" w:eastAsia="方正仿宋_GBK" w:cs="Times New Roman"/>
          <w:kern w:val="0"/>
          <w:sz w:val="32"/>
          <w:szCs w:val="32"/>
          <w:highlight w:val="none"/>
          <w:u w:val="none"/>
          <w:lang w:val="en-US" w:eastAsia="zh-CN"/>
        </w:rPr>
        <w:t>2025年退役军人保障工作经费-市局3万元，用于</w:t>
      </w:r>
      <w:r>
        <w:rPr>
          <w:rFonts w:hint="default" w:ascii="Times New Roman" w:hAnsi="Times New Roman" w:eastAsia="方正仿宋_GBK" w:cs="Times New Roman"/>
          <w:kern w:val="0"/>
          <w:sz w:val="32"/>
          <w:szCs w:val="32"/>
          <w:highlight w:val="none"/>
          <w:lang w:val="en-US" w:eastAsia="zh-CN"/>
        </w:rPr>
        <w:t>聘请律师驻点服务，举行法律知识竞赛和开展法律法规宣传。</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通过聘请律师提供法律服务，为我市退役军人提供了法律咨询、转交法律援助申请等服务，有力维护了退役军人合法权益，营造尊崇关爱军人的浓厚社会氛围。通过法律知识竞赛和开展法律法规宣传，有效提升了工作人员的业务水平，提升广大退役军人对相关法律法规的知晓率。</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15、退役军人事务工作领导小组督查考核工作经费0.81万元，迎接中央退役军人综合督查，开展全市退役军人督查考核评价工作，制作考核材料费等。</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kern w:val="0"/>
          <w:sz w:val="32"/>
          <w:szCs w:val="32"/>
          <w:highlight w:val="none"/>
          <w:u w:val="none"/>
          <w:lang w:val="en-US" w:eastAsia="zh-CN"/>
        </w:rPr>
        <w:t>开展日常专项督查、接收安置退役军舰调研和参加省组织开展的拥军支前演练、拥军支前业务培训班的差旅费、租车费，保障相关工作顺利开展。</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16、退役军人党建工作经费2.37万元，用于加强宣传引导，开展“铭记南楼烽火，赓续铁血荣光”纪念抗战80周年祭英烈活动暨“碉楼下的党课”活动。</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成效亮点：组织退役军人开展“铭记南楼烽火，赓续铁血荣光”纪念抗战80周年祭英烈活动暨“碉楼下的党课”，弘扬优良传统。</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17、宣传政策培训教育10.21万元，</w:t>
      </w:r>
      <w:r>
        <w:rPr>
          <w:rFonts w:hint="default" w:ascii="Times New Roman" w:hAnsi="Times New Roman" w:eastAsia="方正仿宋_GBK" w:cs="Times New Roman"/>
          <w:color w:val="auto"/>
          <w:sz w:val="32"/>
          <w:szCs w:val="32"/>
          <w:lang w:eastAsia="zh-CN"/>
        </w:rPr>
        <w:t>用于市、</w:t>
      </w:r>
      <w:r>
        <w:rPr>
          <w:rFonts w:hint="default" w:ascii="Times New Roman" w:hAnsi="Times New Roman" w:eastAsia="方正仿宋_GBK" w:cs="Times New Roman"/>
          <w:color w:val="auto"/>
          <w:sz w:val="32"/>
          <w:szCs w:val="32"/>
        </w:rPr>
        <w:t>县、镇退役军人服务中心（站）工作人员业务培训，</w:t>
      </w:r>
      <w:r>
        <w:rPr>
          <w:rFonts w:hint="default" w:ascii="Times New Roman" w:hAnsi="Times New Roman" w:eastAsia="方正仿宋_GBK" w:cs="Times New Roman"/>
          <w:color w:val="auto"/>
          <w:sz w:val="32"/>
          <w:szCs w:val="32"/>
          <w:lang w:eastAsia="zh-CN"/>
        </w:rPr>
        <w:t>开展法律法规暨退役军人事务员职业竞赛、返乡报到宣传</w:t>
      </w:r>
      <w:r>
        <w:rPr>
          <w:rFonts w:hint="default" w:ascii="Times New Roman" w:hAnsi="Times New Roman" w:eastAsia="方正仿宋_GBK" w:cs="Times New Roman"/>
          <w:color w:val="auto"/>
          <w:sz w:val="32"/>
          <w:szCs w:val="32"/>
        </w:rPr>
        <w:t>以及工作场所宣传阵地打造</w:t>
      </w:r>
      <w:r>
        <w:rPr>
          <w:rFonts w:hint="default" w:ascii="Times New Roman" w:hAnsi="Times New Roman" w:eastAsia="方正仿宋_GBK" w:cs="Times New Roman"/>
          <w:kern w:val="0"/>
          <w:sz w:val="32"/>
          <w:szCs w:val="32"/>
          <w:highlight w:val="none"/>
          <w:u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auto"/>
          <w:sz w:val="32"/>
          <w:szCs w:val="32"/>
          <w:highlight w:val="none"/>
        </w:rPr>
        <w:t>创新推行“小班教学、下沉基层”的培训模式，全年开展培训</w:t>
      </w:r>
      <w:r>
        <w:rPr>
          <w:rFonts w:hint="default" w:ascii="Times New Roman" w:hAnsi="Times New Roman" w:eastAsia="方正仿宋_GBK" w:cs="Times New Roman"/>
          <w:color w:val="auto"/>
          <w:sz w:val="32"/>
          <w:szCs w:val="32"/>
          <w:highlight w:val="none"/>
          <w:lang w:val="en-US" w:eastAsia="zh-CN"/>
        </w:rPr>
        <w:t>14</w:t>
      </w:r>
      <w:r>
        <w:rPr>
          <w:rFonts w:hint="default" w:ascii="Times New Roman" w:hAnsi="Times New Roman" w:eastAsia="方正仿宋_GBK" w:cs="Times New Roman"/>
          <w:color w:val="auto"/>
          <w:sz w:val="32"/>
          <w:szCs w:val="32"/>
          <w:highlight w:val="none"/>
        </w:rPr>
        <w:t>场，培训</w:t>
      </w:r>
      <w:r>
        <w:rPr>
          <w:rFonts w:hint="default" w:ascii="Times New Roman" w:hAnsi="Times New Roman" w:eastAsia="方正仿宋_GBK" w:cs="Times New Roman"/>
          <w:color w:val="auto"/>
          <w:sz w:val="32"/>
          <w:szCs w:val="32"/>
          <w:highlight w:val="none"/>
          <w:lang w:val="en-US" w:eastAsia="zh-CN"/>
        </w:rPr>
        <w:t>560余</w:t>
      </w:r>
      <w:r>
        <w:rPr>
          <w:rFonts w:hint="default" w:ascii="Times New Roman" w:hAnsi="Times New Roman" w:eastAsia="方正仿宋_GBK" w:cs="Times New Roman"/>
          <w:color w:val="auto"/>
          <w:sz w:val="32"/>
          <w:szCs w:val="32"/>
          <w:highlight w:val="none"/>
        </w:rPr>
        <w:t>人次，基层队伍“懂政策、会服务、善沟通”的能力显著提升</w:t>
      </w:r>
      <w:r>
        <w:rPr>
          <w:rFonts w:hint="default" w:ascii="Times New Roman" w:hAnsi="Times New Roman" w:eastAsia="方正仿宋_GBK" w:cs="Times New Roman"/>
          <w:color w:val="auto"/>
          <w:sz w:val="32"/>
          <w:szCs w:val="32"/>
          <w:highlight w:val="none"/>
          <w:lang w:eastAsia="zh-CN"/>
        </w:rPr>
        <w:t>；制作“退役军人返乡报道温馨提示”</w:t>
      </w:r>
      <w:r>
        <w:rPr>
          <w:rFonts w:hint="default" w:ascii="Times New Roman" w:hAnsi="Times New Roman" w:eastAsia="方正仿宋_GBK" w:cs="Times New Roman"/>
          <w:color w:val="auto"/>
          <w:sz w:val="32"/>
          <w:szCs w:val="32"/>
          <w:highlight w:val="none"/>
          <w:lang w:val="en-US" w:eastAsia="zh-CN"/>
        </w:rPr>
        <w:t>1800份，提升工作效率，帮助返乡退役军人更好适应返乡生活</w:t>
      </w:r>
      <w:r>
        <w:rPr>
          <w:rFonts w:hint="default" w:ascii="Times New Roman" w:hAnsi="Times New Roman" w:eastAsia="方正仿宋_GBK" w:cs="Times New Roman"/>
          <w:color w:val="auto"/>
          <w:sz w:val="32"/>
          <w:szCs w:val="32"/>
          <w:highlight w:val="none"/>
        </w:rPr>
        <w:t>。更新工作场所宣传阵地内容，</w:t>
      </w:r>
      <w:r>
        <w:rPr>
          <w:rFonts w:hint="default" w:ascii="Times New Roman" w:hAnsi="Times New Roman" w:eastAsia="方正仿宋_GBK" w:cs="Times New Roman"/>
          <w:color w:val="auto"/>
          <w:sz w:val="32"/>
          <w:szCs w:val="32"/>
          <w:highlight w:val="none"/>
          <w:lang w:eastAsia="zh-CN"/>
        </w:rPr>
        <w:t>加强了政治理论宣传</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18、走访慰问帮扶救助工作21.9万元，定期每月向90岁以上抗战老兵发放优抚补助金，春节、八一走访慰问常态化对象与帮扶困难退役军人。</w:t>
      </w:r>
    </w:p>
    <w:p>
      <w:pPr>
        <w:ind w:firstLine="640" w:firstLineChars="200"/>
        <w:rPr>
          <w:rFonts w:hint="default" w:ascii="Times New Roman" w:hAnsi="Times New Roman" w:eastAsia="方正仿宋_GBK" w:cs="Times New Roman"/>
          <w:kern w:val="0"/>
          <w:sz w:val="32"/>
          <w:szCs w:val="32"/>
          <w:highlight w:val="yellow"/>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auto"/>
          <w:sz w:val="32"/>
          <w:szCs w:val="32"/>
          <w:lang w:eastAsia="zh-CN"/>
        </w:rPr>
        <w:t>该项目如期实现预期目标，通过走访慰问传达党和政府对退役军人的关心关爱，覆盖</w:t>
      </w:r>
      <w:r>
        <w:rPr>
          <w:rFonts w:hint="default" w:ascii="Times New Roman" w:hAnsi="Times New Roman" w:eastAsia="方正仿宋_GBK" w:cs="Times New Roman"/>
          <w:color w:val="auto"/>
          <w:sz w:val="32"/>
          <w:szCs w:val="32"/>
          <w:lang w:val="en-US" w:eastAsia="zh-CN"/>
        </w:rPr>
        <w:t>196</w:t>
      </w:r>
      <w:r>
        <w:rPr>
          <w:rFonts w:hint="default" w:ascii="Times New Roman" w:hAnsi="Times New Roman" w:eastAsia="方正仿宋_GBK" w:cs="Times New Roman"/>
          <w:color w:val="auto"/>
          <w:sz w:val="32"/>
          <w:szCs w:val="32"/>
          <w:lang w:eastAsia="zh-CN"/>
        </w:rPr>
        <w:t>名服务对象（含高龄抗战老兵），帮助</w:t>
      </w:r>
      <w:r>
        <w:rPr>
          <w:rFonts w:hint="default" w:ascii="Times New Roman" w:hAnsi="Times New Roman" w:eastAsia="方正仿宋_GBK" w:cs="Times New Roman"/>
          <w:color w:val="auto"/>
          <w:sz w:val="32"/>
          <w:szCs w:val="32"/>
          <w:lang w:val="en-US" w:eastAsia="zh-CN"/>
        </w:rPr>
        <w:t>16</w:t>
      </w:r>
      <w:r>
        <w:rPr>
          <w:rFonts w:hint="default" w:ascii="Times New Roman" w:hAnsi="Times New Roman" w:eastAsia="方正仿宋_GBK" w:cs="Times New Roman"/>
          <w:color w:val="auto"/>
          <w:sz w:val="32"/>
          <w:szCs w:val="32"/>
          <w:lang w:eastAsia="zh-CN"/>
        </w:rPr>
        <w:t>户困难家庭解决实际问题。</w:t>
      </w:r>
      <w:r>
        <w:rPr>
          <w:rFonts w:hint="default" w:ascii="Times New Roman" w:hAnsi="Times New Roman" w:eastAsia="方正仿宋_GBK" w:cs="Times New Roman"/>
          <w:color w:val="auto"/>
          <w:sz w:val="32"/>
          <w:szCs w:val="32"/>
          <w:lang w:val="en-US" w:eastAsia="zh-CN"/>
        </w:rPr>
        <w:t>2025年走访慰问退役军人196名，</w:t>
      </w:r>
      <w:r>
        <w:rPr>
          <w:rFonts w:hint="default" w:ascii="Times New Roman" w:hAnsi="Times New Roman" w:eastAsia="方正仿宋_GBK" w:cs="Times New Roman"/>
          <w:color w:val="auto"/>
          <w:sz w:val="32"/>
          <w:szCs w:val="32"/>
          <w:lang w:eastAsia="zh-CN"/>
        </w:rPr>
        <w:t>帮扶</w:t>
      </w:r>
      <w:r>
        <w:rPr>
          <w:rFonts w:hint="default" w:ascii="Times New Roman" w:hAnsi="Times New Roman" w:eastAsia="方正仿宋_GBK" w:cs="Times New Roman"/>
          <w:color w:val="auto"/>
          <w:sz w:val="32"/>
          <w:szCs w:val="32"/>
          <w:lang w:val="en-US" w:eastAsia="zh-CN"/>
        </w:rPr>
        <w:t>4名高龄抗战老兵发放生活困难补助7.92万元，帮扶81名困难抗美援朝老战士发放生活补助6.05万元，得到广大帮扶对象一致好评，</w:t>
      </w:r>
      <w:r>
        <w:rPr>
          <w:rFonts w:hint="default" w:ascii="Times New Roman" w:hAnsi="Times New Roman" w:eastAsia="方正仿宋_GBK" w:cs="Times New Roman"/>
          <w:color w:val="auto"/>
          <w:sz w:val="32"/>
          <w:szCs w:val="32"/>
          <w:lang w:eastAsia="zh-CN"/>
        </w:rPr>
        <w:t>有效提升退役军人获得感、幸福感和荣誉感，实现了 “资金安全、服务精准、对象满意”的目标</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19、退役军人志愿服务工作经费17.75万元，</w:t>
      </w:r>
      <w:r>
        <w:rPr>
          <w:rFonts w:hint="default" w:ascii="Times New Roman" w:hAnsi="Times New Roman" w:eastAsia="方正仿宋_GBK" w:cs="Times New Roman"/>
          <w:color w:val="auto"/>
          <w:kern w:val="2"/>
          <w:sz w:val="32"/>
          <w:szCs w:val="32"/>
          <w:lang w:val="en-US" w:eastAsia="zh-CN" w:bidi="ar-SA"/>
        </w:rPr>
        <w:t>主要用于打造东湖英雄山退役军人志愿服务驿站，常态化开展英雄山烈士陵园管理，指导全市各级侨都星火退役军人志愿服务队广泛开展“送春联、春节走访、清明祭英烈、绿美植树、应急培训、爱心护考”等各类活动</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auto"/>
          <w:kern w:val="2"/>
          <w:sz w:val="32"/>
          <w:szCs w:val="32"/>
          <w:lang w:val="en-US" w:eastAsia="zh-CN" w:bidi="ar-SA"/>
        </w:rPr>
        <w:t>侨都星火退役军人志愿服务品牌影响力逐年扩大，如6月开展爱心助考活动期间，华为公司江门分公司、江门爱尔新希望眼科医院、江门市红旗4S店等企业主动联系与服务队联合开展活动；华山泉、羊奶世家等企业主动向侨都星火应急救援分队捐赠备勤物资；江门市有四支退役军人志愿服务队获评退役军人事务部评选的全国“一千支守护邻里”退役军人志愿服务队荣誉；江门市退役军人志愿服务工作获得江门市义工联的肯定，在8月评选出20名江门市退役军人志愿者获得“侨都星火”退役军人志愿服务达人称号；三支退役军人志愿服务队获评江门市志愿服务项目大赛护河护水以及退役军人赛道；侨都星火江门市退役军人志愿服务队无人机分队扶农助农、配合五邑大学制作“空中宣讲员”等活动，获得人民日报、中国网、南方+等媒体报道；爱心助考志愿服务获得中国网，南方+，省厅及我市各类媒体肯定报道</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20、退役军人信息化红色党建服务3.07万元，</w:t>
      </w:r>
      <w:r>
        <w:rPr>
          <w:rFonts w:hint="default" w:ascii="Times New Roman" w:hAnsi="Times New Roman" w:eastAsia="方正仿宋_GBK" w:cs="Times New Roman"/>
          <w:color w:val="auto"/>
          <w:sz w:val="32"/>
          <w:szCs w:val="32"/>
          <w:lang w:eastAsia="zh-CN"/>
        </w:rPr>
        <w:t>用于</w:t>
      </w:r>
      <w:r>
        <w:rPr>
          <w:rFonts w:hint="default" w:ascii="Times New Roman" w:hAnsi="Times New Roman" w:eastAsia="方正仿宋_GBK" w:cs="Times New Roman"/>
          <w:color w:val="auto"/>
          <w:sz w:val="32"/>
          <w:szCs w:val="32"/>
        </w:rPr>
        <w:t>开展功臣座谈会、</w:t>
      </w:r>
      <w:r>
        <w:rPr>
          <w:rFonts w:hint="default" w:ascii="Times New Roman" w:hAnsi="Times New Roman" w:eastAsia="方正仿宋_GBK" w:cs="Times New Roman"/>
          <w:color w:val="auto"/>
          <w:sz w:val="32"/>
          <w:szCs w:val="32"/>
          <w:lang w:eastAsia="zh-CN"/>
        </w:rPr>
        <w:t>功臣党建活动、慰问、打造老班长工作室、购置党建类书籍、制作党建宣传资料以及更新单位党建宣传阵地等</w:t>
      </w:r>
      <w:r>
        <w:rPr>
          <w:rFonts w:hint="default" w:ascii="Times New Roman" w:hAnsi="Times New Roman" w:eastAsia="方正仿宋_GBK" w:cs="Times New Roman"/>
          <w:kern w:val="0"/>
          <w:sz w:val="32"/>
          <w:szCs w:val="32"/>
          <w:highlight w:val="non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auto"/>
          <w:sz w:val="32"/>
          <w:szCs w:val="32"/>
          <w:highlight w:val="none"/>
        </w:rPr>
        <w:t>一是</w:t>
      </w:r>
      <w:r>
        <w:rPr>
          <w:rFonts w:hint="default" w:ascii="Times New Roman" w:hAnsi="Times New Roman" w:eastAsia="方正仿宋_GBK" w:cs="Times New Roman"/>
          <w:color w:val="auto"/>
          <w:sz w:val="32"/>
          <w:szCs w:val="32"/>
          <w:highlight w:val="none"/>
          <w:lang w:eastAsia="zh-CN"/>
        </w:rPr>
        <w:t>八一组织功臣党建活动，开展功臣党员慰问活动，进一步凝聚功臣群体力量</w:t>
      </w:r>
      <w:r>
        <w:rPr>
          <w:rFonts w:hint="default" w:ascii="Times New Roman" w:hAnsi="Times New Roman" w:eastAsia="方正仿宋_GBK" w:cs="Times New Roman"/>
          <w:color w:val="auto"/>
          <w:sz w:val="32"/>
          <w:szCs w:val="32"/>
          <w:highlight w:val="none"/>
        </w:rPr>
        <w:t>、传承红色革命精神。</w:t>
      </w:r>
      <w:r>
        <w:rPr>
          <w:rFonts w:hint="default" w:ascii="Times New Roman" w:hAnsi="Times New Roman" w:eastAsia="方正仿宋_GBK" w:cs="Times New Roman"/>
          <w:color w:val="auto"/>
          <w:sz w:val="32"/>
          <w:szCs w:val="32"/>
          <w:highlight w:val="none"/>
          <w:lang w:eastAsia="zh-CN"/>
        </w:rPr>
        <w:t>二是通过更新宣传阵地，强化工作人员对党的理论知识、政策法规的学习，增强工作人员政治意识和大局意识。三是打造“老班长工作室”，发挥退役党员老兵正能量，发挥老班长法律专业特长</w:t>
      </w:r>
      <w:r>
        <w:rPr>
          <w:rFonts w:hint="default" w:ascii="Times New Roman" w:hAnsi="Times New Roman" w:eastAsia="方正仿宋_GBK" w:cs="Times New Roman"/>
          <w:color w:val="auto"/>
          <w:sz w:val="32"/>
          <w:szCs w:val="32"/>
          <w:highlight w:val="none"/>
        </w:rPr>
        <w:t>，</w:t>
      </w:r>
      <w:r>
        <w:rPr>
          <w:rFonts w:hint="default" w:ascii="Times New Roman" w:hAnsi="Times New Roman" w:eastAsia="方正仿宋_GBK" w:cs="Times New Roman"/>
          <w:color w:val="auto"/>
          <w:sz w:val="32"/>
          <w:szCs w:val="32"/>
          <w:highlight w:val="none"/>
          <w:lang w:eastAsia="zh-CN"/>
        </w:rPr>
        <w:t>为辖区退役军人提供免费法律咨询服务，帮助退役军人维护合法权益</w:t>
      </w:r>
      <w:r>
        <w:rPr>
          <w:rFonts w:hint="default" w:ascii="Times New Roman" w:hAnsi="Times New Roman" w:eastAsia="方正仿宋_GBK" w:cs="Times New Roman"/>
          <w:color w:val="auto"/>
          <w:sz w:val="32"/>
          <w:szCs w:val="32"/>
          <w:highlight w:val="none"/>
        </w:rPr>
        <w:t>。</w:t>
      </w:r>
      <w:r>
        <w:rPr>
          <w:rFonts w:hint="default" w:ascii="Times New Roman" w:hAnsi="Times New Roman" w:eastAsia="方正仿宋_GBK" w:cs="Times New Roman"/>
          <w:color w:val="auto"/>
          <w:sz w:val="32"/>
          <w:szCs w:val="32"/>
          <w:highlight w:val="none"/>
          <w:lang w:eastAsia="zh-CN"/>
        </w:rPr>
        <w:t>四是充实老兵书吧藏书，丰富书籍类别，为退役军人提供了充足的精神粮食。五是制作宣传物料，加大工作宣传力度，引导广大退役军人听党话、跟党走</w:t>
      </w:r>
      <w:r>
        <w:rPr>
          <w:rFonts w:hint="default" w:ascii="Times New Roman" w:hAnsi="Times New Roman" w:eastAsia="方正仿宋_GBK" w:cs="Times New Roman"/>
          <w:kern w:val="0"/>
          <w:sz w:val="32"/>
          <w:szCs w:val="32"/>
          <w:highlight w:val="none"/>
          <w:lang w:val="en-US" w:eastAsia="zh-CN"/>
        </w:rPr>
        <w:t>。</w:t>
      </w:r>
    </w:p>
    <w:p>
      <w:pPr>
        <w:pStyle w:val="2"/>
        <w:ind w:firstLine="640"/>
        <w:rPr>
          <w:rFonts w:hint="default" w:ascii="Times New Roman" w:hAnsi="Times New Roman" w:eastAsia="方正仿宋_GBK" w:cs="Times New Roman"/>
          <w:kern w:val="0"/>
          <w:sz w:val="32"/>
          <w:szCs w:val="32"/>
          <w:highlight w:val="none"/>
          <w:u w:val="single"/>
          <w:lang w:val="en-US" w:eastAsia="zh-CN"/>
        </w:rPr>
      </w:pPr>
      <w:r>
        <w:rPr>
          <w:rFonts w:hint="default" w:ascii="Times New Roman" w:hAnsi="Times New Roman" w:eastAsia="方正仿宋_GBK" w:cs="Times New Roman"/>
          <w:kern w:val="0"/>
          <w:sz w:val="32"/>
          <w:szCs w:val="32"/>
          <w:highlight w:val="none"/>
          <w:lang w:val="en-US" w:eastAsia="zh-CN"/>
        </w:rPr>
        <w:t>21、2024年退役安置补助经费（第一批）38.7万元。用于中型多旋翼超视距驾驶员项目培训及三个技能培训班（焊工、互联网营销师、广式点心）预付款</w:t>
      </w:r>
      <w:r>
        <w:rPr>
          <w:rFonts w:hint="default" w:ascii="Times New Roman" w:hAnsi="Times New Roman" w:eastAsia="方正仿宋_GBK" w:cs="Times New Roman"/>
          <w:kern w:val="0"/>
          <w:sz w:val="32"/>
          <w:szCs w:val="32"/>
          <w:highlight w:val="none"/>
          <w:u w:val="single"/>
          <w:lang w:val="en-US" w:eastAsia="zh-CN"/>
        </w:rPr>
        <w:t>。</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成效亮点：中型多旋翼超视距驾驶员项目培训，培训员人员90%以上取得caac技能证书，全部实现就业。</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22、2024年退役军人职业培训就业创业补助经费（市局）34.8万元。用于</w:t>
      </w:r>
      <w:r>
        <w:rPr>
          <w:rFonts w:hint="default" w:ascii="Times New Roman" w:hAnsi="Times New Roman" w:eastAsia="方正仿宋_GBK" w:cs="Times New Roman"/>
          <w:kern w:val="0"/>
          <w:sz w:val="32"/>
          <w:szCs w:val="32"/>
          <w:highlight w:val="none"/>
          <w:u w:val="none"/>
          <w:lang w:val="en-US" w:eastAsia="zh-CN"/>
        </w:rPr>
        <w:t>2025年度政府安排退役士兵（退出消防员）适应性培训，标准为1000元/人，共978人。</w:t>
      </w:r>
    </w:p>
    <w:p>
      <w:pPr>
        <w:ind w:firstLine="640" w:firstLineChars="200"/>
        <w:rPr>
          <w:rFonts w:hint="default" w:ascii="Times New Roman" w:hAnsi="Times New Roman" w:eastAsia="方正仿宋_GBK" w:cs="Times New Roman"/>
          <w:kern w:val="0"/>
          <w:sz w:val="32"/>
          <w:szCs w:val="32"/>
          <w:highlight w:val="yellow"/>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auto"/>
          <w:kern w:val="0"/>
          <w:sz w:val="32"/>
          <w:szCs w:val="32"/>
          <w:highlight w:val="none"/>
          <w:lang w:val="en-US" w:eastAsia="zh-CN"/>
        </w:rPr>
        <w:t>全市共978名退役士兵参加春秋两季全员适应性培训，参训率达99%。</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lang w:val="en-US" w:eastAsia="zh-CN"/>
        </w:rPr>
        <w:t>23、2024年拥军优属等慰问活动经费1.11万元，用于军休所</w:t>
      </w:r>
      <w:r>
        <w:rPr>
          <w:rFonts w:hint="default" w:ascii="Times New Roman" w:hAnsi="Times New Roman" w:eastAsia="方正仿宋_GBK" w:cs="Times New Roman"/>
          <w:kern w:val="0"/>
          <w:sz w:val="32"/>
          <w:szCs w:val="32"/>
          <w:highlight w:val="none"/>
          <w:u w:val="none"/>
          <w:lang w:val="en-US" w:eastAsia="zh-CN"/>
        </w:rPr>
        <w:t>37名军休干部发放八一拥军优属慰问金及慰问支出。</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按期开展拥军优属慰问活动，落实军休服务管理工作有关政策、军休干部“两个待遇”得到有效落实，及时传达了党委政府的关怀与问候，表达对军休干部的崇敬、关爱之情，提升了军休干部幸福感、荣誉感和获得感。</w:t>
      </w:r>
    </w:p>
    <w:p>
      <w:pPr>
        <w:pStyle w:val="2"/>
        <w:ind w:firstLine="640" w:firstLineChars="200"/>
        <w:rPr>
          <w:rFonts w:hint="default" w:ascii="Times New Roman" w:hAnsi="Times New Roman" w:eastAsia="方正仿宋_GBK" w:cs="Times New Roman"/>
          <w:kern w:val="0"/>
          <w:sz w:val="32"/>
          <w:szCs w:val="32"/>
          <w:highlight w:val="none"/>
          <w:u w:val="single"/>
          <w:lang w:val="en-US" w:eastAsia="zh-CN" w:bidi="ar-SA"/>
        </w:rPr>
      </w:pPr>
      <w:r>
        <w:rPr>
          <w:rFonts w:hint="default" w:ascii="Times New Roman" w:hAnsi="Times New Roman" w:eastAsia="方正仿宋_GBK" w:cs="Times New Roman"/>
          <w:kern w:val="0"/>
          <w:sz w:val="32"/>
          <w:szCs w:val="32"/>
          <w:highlight w:val="none"/>
          <w:lang w:val="en-US" w:eastAsia="zh-CN" w:bidi="ar-SA"/>
        </w:rPr>
        <w:t>24、2024年中央财政退役安置补助经费第二批待分配期间管理教育补助经费市本级2.04万元。用于2024年安排工作退役士兵适应性培训</w:t>
      </w:r>
      <w:r>
        <w:rPr>
          <w:rFonts w:hint="default" w:ascii="Times New Roman" w:hAnsi="Times New Roman" w:eastAsia="方正仿宋_GBK" w:cs="Times New Roman"/>
          <w:kern w:val="0"/>
          <w:sz w:val="32"/>
          <w:szCs w:val="32"/>
          <w:highlight w:val="none"/>
          <w:u w:val="none"/>
          <w:lang w:val="en-US" w:eastAsia="zh-CN" w:bidi="ar-SA"/>
        </w:rPr>
        <w:t>。</w:t>
      </w:r>
    </w:p>
    <w:p>
      <w:pPr>
        <w:ind w:firstLine="640" w:firstLineChars="200"/>
        <w:rPr>
          <w:rFonts w:hint="default" w:ascii="Times New Roman" w:hAnsi="Times New Roman" w:eastAsia="方正仿宋_GBK" w:cs="Times New Roman"/>
          <w:kern w:val="0"/>
          <w:sz w:val="32"/>
          <w:szCs w:val="32"/>
          <w:highlight w:val="yellow"/>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auto"/>
          <w:kern w:val="0"/>
          <w:sz w:val="32"/>
          <w:szCs w:val="32"/>
          <w:highlight w:val="none"/>
          <w:u w:val="none"/>
          <w:lang w:val="en-US" w:eastAsia="zh-CN"/>
        </w:rPr>
        <w:t>为</w:t>
      </w:r>
      <w:r>
        <w:rPr>
          <w:rFonts w:hint="default" w:ascii="Times New Roman" w:hAnsi="Times New Roman" w:eastAsia="方正仿宋_GBK" w:cs="Times New Roman"/>
          <w:color w:val="auto"/>
          <w:kern w:val="0"/>
          <w:sz w:val="32"/>
          <w:szCs w:val="32"/>
          <w:highlight w:val="none"/>
          <w:u w:val="none"/>
          <w:lang w:eastAsia="zh-CN"/>
        </w:rPr>
        <w:t>当年</w:t>
      </w:r>
      <w:r>
        <w:rPr>
          <w:rFonts w:hint="default" w:ascii="Times New Roman" w:hAnsi="Times New Roman" w:eastAsia="方正仿宋_GBK" w:cs="Times New Roman"/>
          <w:color w:val="auto"/>
          <w:kern w:val="0"/>
          <w:sz w:val="32"/>
          <w:szCs w:val="32"/>
          <w:highlight w:val="none"/>
          <w:u w:val="none"/>
          <w:lang w:val="en-US" w:eastAsia="zh-CN"/>
        </w:rPr>
        <w:t>政府安排退役士兵开展适应性培训，有效助力退役士兵加快角色转换、顺利融入社会</w:t>
      </w:r>
      <w:r>
        <w:rPr>
          <w:rFonts w:hint="default" w:ascii="Times New Roman" w:hAnsi="Times New Roman" w:eastAsia="方正仿宋_GBK" w:cs="Times New Roman"/>
          <w:color w:val="auto"/>
          <w:kern w:val="0"/>
          <w:sz w:val="32"/>
          <w:szCs w:val="32"/>
          <w:highlight w:val="none"/>
          <w:u w:val="none"/>
          <w:lang w:eastAsia="zh-CN"/>
        </w:rPr>
        <w:t>，加强在地方的工作能力</w:t>
      </w:r>
      <w:r>
        <w:rPr>
          <w:rFonts w:hint="default" w:ascii="Times New Roman" w:hAnsi="Times New Roman" w:eastAsia="方正仿宋_GBK" w:cs="Times New Roman"/>
          <w:color w:val="auto"/>
          <w:kern w:val="0"/>
          <w:sz w:val="32"/>
          <w:szCs w:val="32"/>
          <w:highlight w:val="none"/>
          <w:u w:val="none"/>
          <w:lang w:val="en-US" w:eastAsia="zh-CN"/>
        </w:rPr>
        <w:t>。</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lang w:val="en-US" w:eastAsia="zh-CN"/>
        </w:rPr>
        <w:t>25、2022年中央财政退役安置补助经费预算（第一批）（服务管理机构用房保障经费）43.61万元，</w:t>
      </w:r>
      <w:r>
        <w:rPr>
          <w:rFonts w:hint="default" w:ascii="Times New Roman" w:hAnsi="Times New Roman" w:eastAsia="方正仿宋_GBK" w:cs="Times New Roman"/>
          <w:kern w:val="0"/>
          <w:sz w:val="32"/>
          <w:szCs w:val="32"/>
          <w:highlight w:val="none"/>
          <w:u w:val="none"/>
          <w:lang w:val="en-US" w:eastAsia="zh-CN"/>
        </w:rPr>
        <w:t>用于用于江门市军休区域服务中心大楼装修改造、加装电梯和大院内升级改造。</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成效亮点：完善军休区域服务中心大楼硬件设置，为后续依托区域服务中心开展各项活动提供支持，针对不同年龄阶段不同服务需求的军休老干部提供个性化贴心服务。</w:t>
      </w:r>
    </w:p>
    <w:p>
      <w:pPr>
        <w:pStyle w:val="2"/>
        <w:ind w:firstLine="640" w:firstLineChars="200"/>
        <w:rPr>
          <w:rFonts w:hint="default" w:ascii="Times New Roman" w:hAnsi="Times New Roman" w:eastAsia="方正仿宋_GBK" w:cs="Times New Roman"/>
          <w:kern w:val="0"/>
          <w:sz w:val="32"/>
          <w:szCs w:val="32"/>
          <w:highlight w:val="none"/>
          <w:u w:val="single"/>
          <w:lang w:val="en-US" w:eastAsia="zh-CN" w:bidi="ar-SA"/>
        </w:rPr>
      </w:pPr>
      <w:r>
        <w:rPr>
          <w:rFonts w:hint="default" w:ascii="Times New Roman" w:hAnsi="Times New Roman" w:eastAsia="方正仿宋_GBK" w:cs="Times New Roman"/>
          <w:kern w:val="0"/>
          <w:sz w:val="32"/>
          <w:szCs w:val="32"/>
          <w:highlight w:val="none"/>
          <w:lang w:val="en-US" w:eastAsia="zh-CN" w:bidi="ar-SA"/>
        </w:rPr>
        <w:t>26、2024年中央财政军队转业干部补助经费预算第二批教育培训、进高校经费（市本级）3.08万元，用于</w:t>
      </w:r>
      <w:r>
        <w:rPr>
          <w:rFonts w:hint="default" w:ascii="Times New Roman" w:hAnsi="Times New Roman" w:eastAsia="方正仿宋_GBK" w:cs="Times New Roman"/>
          <w:color w:val="auto"/>
          <w:kern w:val="0"/>
          <w:sz w:val="32"/>
          <w:szCs w:val="32"/>
          <w:highlight w:val="none"/>
          <w:u w:val="none"/>
          <w:lang w:eastAsia="zh-CN" w:bidi="ar-SA"/>
        </w:rPr>
        <w:t>2024年军队转业干部适应性培训</w:t>
      </w:r>
      <w:r>
        <w:rPr>
          <w:rFonts w:hint="default" w:ascii="Times New Roman" w:hAnsi="Times New Roman" w:eastAsia="方正仿宋_GBK" w:cs="Times New Roman"/>
          <w:color w:val="auto"/>
          <w:kern w:val="0"/>
          <w:sz w:val="32"/>
          <w:szCs w:val="32"/>
          <w:highlight w:val="none"/>
          <w:u w:val="none"/>
          <w:lang w:val="en-US" w:eastAsia="zh-CN" w:bidi="ar-SA"/>
        </w:rPr>
        <w:t>。</w:t>
      </w:r>
    </w:p>
    <w:p>
      <w:pPr>
        <w:ind w:firstLine="640" w:firstLineChars="200"/>
        <w:rPr>
          <w:rFonts w:hint="default" w:ascii="Times New Roman" w:hAnsi="Times New Roman" w:eastAsia="方正仿宋_GBK" w:cs="Times New Roman"/>
          <w:kern w:val="0"/>
          <w:sz w:val="32"/>
          <w:szCs w:val="32"/>
          <w:highlight w:val="yellow"/>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color w:val="auto"/>
          <w:kern w:val="0"/>
          <w:sz w:val="32"/>
          <w:szCs w:val="32"/>
          <w:highlight w:val="none"/>
          <w:u w:val="none"/>
          <w:lang w:val="en-US" w:eastAsia="zh-CN"/>
        </w:rPr>
        <w:t>为</w:t>
      </w:r>
      <w:r>
        <w:rPr>
          <w:rFonts w:hint="default" w:ascii="Times New Roman" w:hAnsi="Times New Roman" w:eastAsia="方正仿宋_GBK" w:cs="Times New Roman"/>
          <w:color w:val="auto"/>
          <w:kern w:val="0"/>
          <w:sz w:val="32"/>
          <w:szCs w:val="32"/>
          <w:highlight w:val="none"/>
          <w:u w:val="none"/>
          <w:lang w:eastAsia="zh-CN"/>
        </w:rPr>
        <w:t>当年军队转业干部</w:t>
      </w:r>
      <w:r>
        <w:rPr>
          <w:rFonts w:hint="default" w:ascii="Times New Roman" w:hAnsi="Times New Roman" w:eastAsia="方正仿宋_GBK" w:cs="Times New Roman"/>
          <w:color w:val="auto"/>
          <w:kern w:val="0"/>
          <w:sz w:val="32"/>
          <w:szCs w:val="32"/>
          <w:highlight w:val="none"/>
          <w:u w:val="none"/>
          <w:lang w:val="en-US" w:eastAsia="zh-CN"/>
        </w:rPr>
        <w:t>展适应性培训，有效助力</w:t>
      </w:r>
      <w:r>
        <w:rPr>
          <w:rFonts w:hint="default" w:ascii="Times New Roman" w:hAnsi="Times New Roman" w:eastAsia="方正仿宋_GBK" w:cs="Times New Roman"/>
          <w:color w:val="auto"/>
          <w:kern w:val="0"/>
          <w:sz w:val="32"/>
          <w:szCs w:val="32"/>
          <w:highlight w:val="none"/>
          <w:u w:val="none"/>
          <w:lang w:eastAsia="zh-CN"/>
        </w:rPr>
        <w:t>转业军官</w:t>
      </w:r>
      <w:r>
        <w:rPr>
          <w:rFonts w:hint="default" w:ascii="Times New Roman" w:hAnsi="Times New Roman" w:eastAsia="方正仿宋_GBK" w:cs="Times New Roman"/>
          <w:color w:val="auto"/>
          <w:kern w:val="0"/>
          <w:sz w:val="32"/>
          <w:szCs w:val="32"/>
          <w:highlight w:val="none"/>
          <w:u w:val="none"/>
          <w:lang w:val="en-US" w:eastAsia="zh-CN"/>
        </w:rPr>
        <w:t>加快角色转换、顺利融入社会</w:t>
      </w:r>
      <w:r>
        <w:rPr>
          <w:rFonts w:hint="default" w:ascii="Times New Roman" w:hAnsi="Times New Roman" w:eastAsia="方正仿宋_GBK" w:cs="Times New Roman"/>
          <w:color w:val="auto"/>
          <w:kern w:val="0"/>
          <w:sz w:val="32"/>
          <w:szCs w:val="32"/>
          <w:highlight w:val="none"/>
          <w:u w:val="none"/>
          <w:lang w:eastAsia="zh-CN"/>
        </w:rPr>
        <w:t>，加强适应地方能力</w:t>
      </w:r>
      <w:r>
        <w:rPr>
          <w:rFonts w:hint="default" w:ascii="Times New Roman" w:hAnsi="Times New Roman" w:eastAsia="方正仿宋_GBK" w:cs="Times New Roman"/>
          <w:color w:val="auto"/>
          <w:kern w:val="0"/>
          <w:sz w:val="32"/>
          <w:szCs w:val="32"/>
          <w:highlight w:val="none"/>
          <w:u w:val="none"/>
          <w:lang w:val="en-US" w:eastAsia="zh-CN"/>
        </w:rPr>
        <w:t>。</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lang w:val="en-US" w:eastAsia="zh-CN"/>
        </w:rPr>
        <w:t>27、中央财政提前下达2025年退役安置补助经费预算离退休人员（市军休所）728.74万元，</w:t>
      </w:r>
      <w:r>
        <w:rPr>
          <w:rFonts w:hint="default" w:ascii="Times New Roman" w:hAnsi="Times New Roman" w:eastAsia="方正仿宋_GBK" w:cs="Times New Roman"/>
          <w:kern w:val="0"/>
          <w:sz w:val="32"/>
          <w:szCs w:val="32"/>
          <w:highlight w:val="none"/>
          <w:u w:val="none"/>
          <w:lang w:val="en-US" w:eastAsia="zh-CN"/>
        </w:rPr>
        <w:t>用于军休干部及退休士官离退休费发放。</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成效亮点：严格执行相关法律法规，确保军休干部基本离退休费等各项生活待遇落实到位。日常通过加强资金管理，确保退役安置补助经费资金到位及时，军休对象的生活待遇资金发放到位率、准确率达到100%。</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lang w:val="en-US" w:eastAsia="zh-CN"/>
        </w:rPr>
        <w:t>28、中央财政提前下达2025年退役安置补助经费预算机构（市军休所）7.86万元，</w:t>
      </w:r>
      <w:r>
        <w:rPr>
          <w:rFonts w:hint="default" w:ascii="Times New Roman" w:hAnsi="Times New Roman" w:eastAsia="方正仿宋_GBK" w:cs="Times New Roman"/>
          <w:kern w:val="0"/>
          <w:sz w:val="32"/>
          <w:szCs w:val="32"/>
          <w:highlight w:val="none"/>
          <w:u w:val="none"/>
          <w:lang w:val="en-US" w:eastAsia="zh-CN"/>
        </w:rPr>
        <w:t>用于军休服务机构日常支出。</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成效亮点：为落实军休工作相关政策和军休干部“两个待遇”提供了有力保障，包括为军队离休退休干部做好服务工作，严格执行财务管理规定和财经纪律，确保了军休服务机构正常运作。</w:t>
      </w:r>
    </w:p>
    <w:p>
      <w:pPr>
        <w:ind w:firstLine="640" w:firstLineChars="200"/>
        <w:rPr>
          <w:rFonts w:hint="default" w:ascii="Times New Roman" w:hAnsi="Times New Roman" w:eastAsia="方正仿宋_GBK" w:cs="Times New Roman"/>
          <w:kern w:val="0"/>
          <w:sz w:val="32"/>
          <w:szCs w:val="32"/>
          <w:highlight w:val="yellow"/>
          <w:lang w:val="en-US" w:eastAsia="zh-CN"/>
        </w:rPr>
      </w:pPr>
      <w:r>
        <w:rPr>
          <w:rFonts w:hint="default" w:ascii="Times New Roman" w:hAnsi="Times New Roman" w:eastAsia="方正仿宋_GBK" w:cs="Times New Roman"/>
          <w:kern w:val="0"/>
          <w:sz w:val="32"/>
          <w:szCs w:val="32"/>
          <w:highlight w:val="none"/>
          <w:lang w:val="en-US" w:eastAsia="zh-CN"/>
        </w:rPr>
        <w:t>29、中央财政提前下达2024年退役安置补助经费预算人员（市军休所）92万元，</w:t>
      </w:r>
      <w:r>
        <w:rPr>
          <w:rFonts w:hint="default" w:ascii="Times New Roman" w:hAnsi="Times New Roman" w:eastAsia="方正仿宋_GBK" w:cs="Times New Roman"/>
          <w:kern w:val="0"/>
          <w:sz w:val="32"/>
          <w:szCs w:val="32"/>
          <w:highlight w:val="none"/>
          <w:u w:val="none"/>
          <w:lang w:val="en-US" w:eastAsia="zh-CN"/>
        </w:rPr>
        <w:t>用于发放军休人员退休费、军休人员医疗保险缴费、医疗报销以及发放军人干部遗属生活补助。</w:t>
      </w:r>
    </w:p>
    <w:p>
      <w:pPr>
        <w:ind w:firstLine="640" w:firstLineChars="200"/>
        <w:rPr>
          <w:rFonts w:hint="default" w:ascii="Times New Roman" w:hAnsi="Times New Roman" w:eastAsia="方正仿宋_GBK" w:cs="Times New Roman"/>
          <w:kern w:val="0"/>
          <w:sz w:val="32"/>
          <w:szCs w:val="32"/>
          <w:highlight w:val="yellow"/>
          <w:lang w:val="en-US" w:eastAsia="zh-CN"/>
        </w:rPr>
      </w:pPr>
      <w:r>
        <w:rPr>
          <w:rFonts w:hint="default" w:ascii="Times New Roman" w:hAnsi="Times New Roman" w:eastAsia="方正仿宋_GBK" w:cs="Times New Roman"/>
          <w:kern w:val="0"/>
          <w:sz w:val="32"/>
          <w:szCs w:val="32"/>
          <w:highlight w:val="none"/>
          <w:lang w:val="en-US" w:eastAsia="zh-CN"/>
        </w:rPr>
        <w:t>成效亮点：</w:t>
      </w:r>
      <w:r>
        <w:rPr>
          <w:rFonts w:hint="default" w:ascii="Times New Roman" w:hAnsi="Times New Roman" w:eastAsia="方正仿宋_GBK" w:cs="Times New Roman"/>
          <w:kern w:val="0"/>
          <w:sz w:val="32"/>
          <w:szCs w:val="32"/>
          <w:highlight w:val="none"/>
          <w:u w:val="none"/>
          <w:lang w:val="en-US" w:eastAsia="zh-CN"/>
        </w:rPr>
        <w:t>严格执行相关法律法规，确保军休干部各项生活待遇和医疗保障待遇落实。及时按照上级部署，按时调整军休干部、退休士官和军休干部遗属的各项待遇，确保基本离退休费、各类津贴等待遇落实到位。</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30、专项业务经费26.53万元，保障市退役军人服务中心日常办公大楼、停车场的安保、保洁、绿化以及公车维护保养工作。</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一是通过购买物业服务，保持了市退役军人服务中心办公场所环境整洁、卫生，维持了服务大厅的安保秩序，做好来访服务对象的引导接待工作，给服务对象营造了家的温馨感。二是保障了市退役军人服务中心日常办公用品、耗材等的正常更换，保障了下乡、下基层走访的用车需求，为退役军人各项服务工作的正常开展提供了基础保障。</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31、委托社会组织参与退役军人调解工作62.2万元，主要用于主要委托社会组织参与退役军人调解工作，为来访者化解信访问题，主要是运用个案、心理辅导、上户探访及链接资源等方法为上访者展开跟踪服务，促使来访者避免有过激行为。</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成效亮点：委托社会组织聘请人民调解员通过个案分析、心理辅导、上户探访及链接资源等方法协助我局化解诉求等问题，保障我市退役军人思想政治工作与权益维护工作平稳开展。</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32、江门市优抚对象困难救助10.51万元，主要用于退役军人遭遇突发事件、意外伤害、重大疾病或其他特殊原因导致基本生活陷入困境，其他社会救助暂时无法覆盖或救助之后基本生活暂时仍有严重困难的优抚对象给予的应急性、过渡性的救助。</w:t>
      </w:r>
    </w:p>
    <w:p>
      <w:pPr>
        <w:ind w:firstLine="640" w:firstLineChars="200"/>
        <w:rPr>
          <w:rFonts w:hint="default" w:ascii="Times New Roman" w:hAnsi="Times New Roman" w:eastAsia="方正仿宋_GBK" w:cs="Times New Roman"/>
          <w:kern w:val="0"/>
          <w:sz w:val="32"/>
          <w:szCs w:val="32"/>
          <w:highlight w:val="none"/>
          <w:lang w:val="en-US" w:eastAsia="zh-CN"/>
        </w:rPr>
      </w:pPr>
      <w:r>
        <w:rPr>
          <w:rFonts w:hint="default" w:ascii="Times New Roman" w:hAnsi="Times New Roman" w:eastAsia="方正仿宋_GBK" w:cs="Times New Roman"/>
          <w:kern w:val="0"/>
          <w:sz w:val="32"/>
          <w:szCs w:val="32"/>
          <w:highlight w:val="none"/>
          <w:lang w:val="en-US" w:eastAsia="zh-CN"/>
        </w:rPr>
        <w:t>成效亮点：不断提高救急济难水平，增强困难退役军人安全感、获得敢和荣誉感，充分体现退役军人为国防和军队建设作出的牺牲贡献。</w:t>
      </w:r>
    </w:p>
    <w:p>
      <w:pPr>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lang w:val="en-US" w:eastAsia="zh-CN"/>
        </w:rPr>
        <w:t>33、退役士兵职业技能培训补助经费51.41万元，</w:t>
      </w:r>
      <w:r>
        <w:rPr>
          <w:rFonts w:hint="default" w:ascii="Times New Roman" w:hAnsi="Times New Roman" w:eastAsia="方正仿宋_GBK" w:cs="Times New Roman"/>
          <w:kern w:val="0"/>
          <w:sz w:val="32"/>
          <w:szCs w:val="32"/>
          <w:highlight w:val="none"/>
          <w:u w:val="none"/>
          <w:lang w:val="en-US" w:eastAsia="zh-CN"/>
        </w:rPr>
        <w:t>主要用于</w:t>
      </w:r>
      <w:r>
        <w:rPr>
          <w:rFonts w:hint="default" w:ascii="Times New Roman" w:hAnsi="Times New Roman" w:eastAsia="方正仿宋_GBK" w:cs="Times New Roman"/>
          <w:kern w:val="0"/>
          <w:sz w:val="32"/>
          <w:szCs w:val="32"/>
          <w:highlight w:val="none"/>
          <w:u w:val="none"/>
          <w:lang w:eastAsia="zh-CN"/>
        </w:rPr>
        <w:t>2025</w:t>
      </w:r>
      <w:r>
        <w:rPr>
          <w:rFonts w:hint="default" w:ascii="Times New Roman" w:hAnsi="Times New Roman" w:eastAsia="方正仿宋_GBK" w:cs="Times New Roman"/>
          <w:kern w:val="0"/>
          <w:sz w:val="32"/>
          <w:szCs w:val="32"/>
          <w:highlight w:val="none"/>
          <w:u w:val="none"/>
          <w:lang w:val="en-US" w:eastAsia="zh-CN"/>
        </w:rPr>
        <w:t>年自主就业退役士兵全员适应性培训经费</w:t>
      </w:r>
      <w:r>
        <w:rPr>
          <w:rFonts w:hint="default" w:ascii="Times New Roman" w:hAnsi="Times New Roman" w:eastAsia="方正仿宋_GBK" w:cs="Times New Roman"/>
          <w:kern w:val="0"/>
          <w:sz w:val="32"/>
          <w:szCs w:val="32"/>
          <w:highlight w:val="none"/>
          <w:u w:val="none"/>
          <w:lang w:eastAsia="zh-CN"/>
        </w:rPr>
        <w:t>、购买自主就业退役士兵适应性培训教材书籍、中型多旋翼超视距驾驶员、退役军人无人机、低压电工、叉车短期职业技能培训班</w:t>
      </w:r>
      <w:r>
        <w:rPr>
          <w:rFonts w:hint="default" w:ascii="Times New Roman" w:hAnsi="Times New Roman" w:eastAsia="方正仿宋_GBK" w:cs="Times New Roman"/>
          <w:kern w:val="0"/>
          <w:sz w:val="32"/>
          <w:szCs w:val="32"/>
          <w:highlight w:val="none"/>
          <w:u w:val="none"/>
          <w:lang w:val="en-US" w:eastAsia="zh-CN"/>
        </w:rPr>
        <w:t>。</w:t>
      </w:r>
    </w:p>
    <w:p>
      <w:pPr>
        <w:ind w:firstLine="960" w:firstLineChars="3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成效亮点：2025年我市共接收报到2025年度退役士兵979名，其中复学退役士兵254名；累计978名退役士兵参加线上、线下适应性培训实现参训率99% 。</w:t>
      </w:r>
    </w:p>
    <w:p>
      <w:pPr>
        <w:pStyle w:val="2"/>
        <w:rPr>
          <w:rFonts w:hint="default" w:ascii="Times New Roman" w:hAnsi="Times New Roman" w:eastAsia="方正仿宋_GBK" w:cs="Times New Roman"/>
          <w:color w:val="auto"/>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lang w:val="en-US" w:eastAsia="zh-CN"/>
        </w:rPr>
        <w:t xml:space="preserve">     34、退役军人教育培训和就业创业工作经费21.78万元，</w:t>
      </w:r>
      <w:r>
        <w:rPr>
          <w:rFonts w:hint="default" w:ascii="Times New Roman" w:hAnsi="Times New Roman" w:eastAsia="方正仿宋_GBK" w:cs="Times New Roman"/>
          <w:color w:val="auto"/>
          <w:kern w:val="0"/>
          <w:sz w:val="32"/>
          <w:szCs w:val="32"/>
          <w:highlight w:val="none"/>
          <w:u w:val="none"/>
          <w:lang w:val="en-US" w:eastAsia="zh-CN"/>
        </w:rPr>
        <w:t>主要用于</w:t>
      </w:r>
      <w:r>
        <w:rPr>
          <w:rFonts w:hint="default" w:ascii="Times New Roman" w:hAnsi="Times New Roman" w:eastAsia="方正仿宋_GBK" w:cs="Times New Roman"/>
          <w:color w:val="auto"/>
          <w:kern w:val="0"/>
          <w:sz w:val="32"/>
          <w:szCs w:val="32"/>
          <w:highlight w:val="none"/>
          <w:u w:val="none"/>
          <w:lang w:eastAsia="zh-CN"/>
        </w:rPr>
        <w:t>送技能下乡、军创大讲堂、退役军人成人高考考前辅导、</w:t>
      </w:r>
      <w:r>
        <w:rPr>
          <w:rFonts w:hint="default" w:ascii="Times New Roman" w:hAnsi="Times New Roman" w:eastAsia="方正仿宋_GBK" w:cs="Times New Roman"/>
          <w:color w:val="auto"/>
          <w:kern w:val="0"/>
          <w:sz w:val="32"/>
          <w:szCs w:val="32"/>
          <w:highlight w:val="none"/>
          <w:u w:val="none"/>
          <w:lang w:val="en-US" w:eastAsia="zh-CN"/>
        </w:rPr>
        <w:t>“戎耀湾区·筑业未来”2025年粤港澳大湾区退役军人及军属招聘活动暨军创企业·拥军企业展示交流会（江门专场）</w:t>
      </w:r>
      <w:r>
        <w:rPr>
          <w:rFonts w:hint="default" w:ascii="Times New Roman" w:hAnsi="Times New Roman" w:eastAsia="方正仿宋_GBK" w:cs="Times New Roman"/>
          <w:color w:val="auto"/>
          <w:kern w:val="0"/>
          <w:sz w:val="32"/>
          <w:szCs w:val="32"/>
          <w:highlight w:val="none"/>
          <w:u w:val="none"/>
          <w:lang w:eastAsia="zh-CN"/>
        </w:rPr>
        <w:t>活动费用及工作差旅费。</w:t>
      </w:r>
      <w:r>
        <w:rPr>
          <w:rFonts w:hint="default" w:ascii="Times New Roman" w:hAnsi="Times New Roman" w:eastAsia="方正仿宋_GBK" w:cs="Times New Roman"/>
          <w:color w:val="auto"/>
          <w:kern w:val="0"/>
          <w:sz w:val="32"/>
          <w:szCs w:val="32"/>
          <w:highlight w:val="none"/>
          <w:u w:val="none"/>
          <w:lang w:val="en-US" w:eastAsia="zh-CN"/>
        </w:rPr>
        <w:t>。</w:t>
      </w:r>
    </w:p>
    <w:p>
      <w:pPr>
        <w:pStyle w:val="2"/>
        <w:ind w:firstLine="640" w:firstLineChars="200"/>
        <w:rPr>
          <w:rFonts w:hint="default" w:ascii="Times New Roman" w:hAnsi="Times New Roman" w:eastAsia="方正仿宋_GBK" w:cs="Times New Roman"/>
          <w:color w:val="auto"/>
          <w:kern w:val="0"/>
          <w:sz w:val="32"/>
          <w:szCs w:val="32"/>
          <w:highlight w:val="none"/>
          <w:u w:val="none"/>
          <w:lang w:val="en-US" w:eastAsia="zh-CN"/>
        </w:rPr>
      </w:pPr>
      <w:r>
        <w:rPr>
          <w:rFonts w:hint="default" w:ascii="Times New Roman" w:hAnsi="Times New Roman" w:eastAsia="方正仿宋_GBK" w:cs="Times New Roman"/>
          <w:color w:val="auto"/>
          <w:kern w:val="0"/>
          <w:sz w:val="32"/>
          <w:szCs w:val="32"/>
          <w:highlight w:val="none"/>
          <w:u w:val="none"/>
          <w:lang w:val="en-US" w:eastAsia="zh-CN"/>
        </w:rPr>
        <w:t>成效亮点：举办“戎耀湾区·筑业未来”2025年粤港澳大湾区退役军人及军属招聘活动暨军创企业·拥军企业展示交流会（江门专场）</w:t>
      </w:r>
      <w:r>
        <w:rPr>
          <w:rFonts w:hint="default" w:ascii="Times New Roman" w:hAnsi="Times New Roman" w:eastAsia="方正仿宋_GBK" w:cs="Times New Roman"/>
          <w:color w:val="auto"/>
          <w:kern w:val="0"/>
          <w:sz w:val="32"/>
          <w:szCs w:val="32"/>
          <w:highlight w:val="none"/>
          <w:u w:val="none"/>
          <w:lang w:eastAsia="zh-CN"/>
        </w:rPr>
        <w:t>，</w:t>
      </w:r>
      <w:r>
        <w:rPr>
          <w:rFonts w:hint="default" w:ascii="Times New Roman" w:hAnsi="Times New Roman" w:eastAsia="方正仿宋_GBK" w:cs="Times New Roman"/>
          <w:color w:val="auto"/>
          <w:kern w:val="0"/>
          <w:sz w:val="32"/>
          <w:szCs w:val="32"/>
          <w:highlight w:val="none"/>
          <w:u w:val="none"/>
          <w:lang w:val="en-US" w:eastAsia="zh-CN"/>
        </w:rPr>
        <w:t>来自粤港澳大湾区的240余家企业集中亮相，提供涵盖物流、新能源、通信、智能制造、应急消防、现代服务等领域的3500余个优质岗位。送技能下乡、军创大讲堂活动帮助700余人次提升创业能力。</w:t>
      </w:r>
    </w:p>
    <w:p>
      <w:pPr>
        <w:pStyle w:val="2"/>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35、优秀退役军人典型评选表彰宣讲活动经费4.95万元，用于开展江门市2025年“老兵永远跟党走——老兵宣讲”实践活动3场，开展“纪念中国人民抗日战争暨世界反法西斯战争胜利”国防教育进校园宣讲活动1场。</w:t>
      </w:r>
    </w:p>
    <w:p>
      <w:pPr>
        <w:pStyle w:val="2"/>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通过优秀退役军人宣讲“进社区、进校园”推出一批积极响应党的号召、在经济社会建设各个领域取得明显成就、作出突出贡献的优秀退役军人典型，有效激励广大退役军人学习最美、争当最美，在全社会进一步营造了关心国防、尊崇军人的浓厚氛围。</w:t>
      </w:r>
    </w:p>
    <w:p>
      <w:pPr>
        <w:pStyle w:val="2"/>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36、中央财政2023年退役安置补助经费预算（第三批，退役士兵教育培训）市局29.68万元，用于用于用于</w:t>
      </w:r>
      <w:r>
        <w:rPr>
          <w:rFonts w:hint="default" w:ascii="Times New Roman" w:hAnsi="Times New Roman" w:eastAsia="方正仿宋_GBK" w:cs="Times New Roman"/>
          <w:kern w:val="0"/>
          <w:sz w:val="32"/>
          <w:szCs w:val="32"/>
          <w:highlight w:val="none"/>
          <w:u w:val="none"/>
          <w:lang w:eastAsia="zh-CN"/>
        </w:rPr>
        <w:t>支付小型无人机多旋翼视距内驾驶航空器操控员、无人机驾驶员职业技能登记认定培训暨应用场景实战班和退役军人乡村振兴无人机农业机械化、公共卫生消杀-无人机专项暨应用场景培训班（预付款）</w:t>
      </w:r>
      <w:r>
        <w:rPr>
          <w:rFonts w:hint="default" w:ascii="Times New Roman" w:hAnsi="Times New Roman" w:eastAsia="方正仿宋_GBK" w:cs="Times New Roman"/>
          <w:kern w:val="0"/>
          <w:sz w:val="32"/>
          <w:szCs w:val="32"/>
          <w:highlight w:val="none"/>
          <w:u w:val="none"/>
          <w:lang w:val="en-US" w:eastAsia="zh-CN"/>
        </w:rPr>
        <w:t>。</w:t>
      </w:r>
    </w:p>
    <w:p>
      <w:pPr>
        <w:pStyle w:val="2"/>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成效亮点：技能培训取证率超过70%，全部实现就业。</w:t>
      </w:r>
    </w:p>
    <w:p>
      <w:pPr>
        <w:pStyle w:val="2"/>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37、退役军人创业担保贷款贴息专项资金7.5万元，用于</w:t>
      </w:r>
      <w:r>
        <w:rPr>
          <w:rFonts w:hint="default" w:ascii="Times New Roman" w:hAnsi="Times New Roman" w:eastAsia="方正仿宋_GBK" w:cs="Times New Roman"/>
          <w:kern w:val="0"/>
          <w:sz w:val="32"/>
          <w:szCs w:val="32"/>
          <w:highlight w:val="none"/>
          <w:u w:val="none"/>
          <w:lang w:eastAsia="zh-CN"/>
        </w:rPr>
        <w:t>我市户籍退役军人申请创业担保贷款，我局应贴息部分</w:t>
      </w:r>
      <w:r>
        <w:rPr>
          <w:rFonts w:hint="default" w:ascii="Times New Roman" w:hAnsi="Times New Roman" w:eastAsia="方正仿宋_GBK" w:cs="Times New Roman"/>
          <w:kern w:val="0"/>
          <w:sz w:val="32"/>
          <w:szCs w:val="32"/>
          <w:highlight w:val="none"/>
          <w:u w:val="none"/>
          <w:lang w:val="en-US" w:eastAsia="zh-CN"/>
        </w:rPr>
        <w:t>。</w:t>
      </w:r>
    </w:p>
    <w:p>
      <w:pPr>
        <w:pStyle w:val="2"/>
        <w:ind w:firstLine="640" w:firstLineChars="200"/>
        <w:rPr>
          <w:rFonts w:hint="default" w:ascii="Times New Roman" w:hAnsi="Times New Roman" w:eastAsia="方正仿宋_GBK" w:cs="Times New Roman"/>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成效亮点：</w:t>
      </w:r>
      <w:r>
        <w:rPr>
          <w:rFonts w:hint="default" w:ascii="Times New Roman" w:hAnsi="Times New Roman" w:eastAsia="方正仿宋_GBK" w:cs="Times New Roman"/>
          <w:kern w:val="0"/>
          <w:sz w:val="32"/>
          <w:szCs w:val="32"/>
          <w:highlight w:val="none"/>
          <w:u w:val="none"/>
          <w:lang w:eastAsia="zh-CN"/>
        </w:rPr>
        <w:t>有效解决创办企业的退役军人资金压力</w:t>
      </w:r>
      <w:r>
        <w:rPr>
          <w:rFonts w:hint="default" w:ascii="Times New Roman" w:hAnsi="Times New Roman" w:eastAsia="方正仿宋_GBK" w:cs="Times New Roman"/>
          <w:kern w:val="0"/>
          <w:sz w:val="32"/>
          <w:szCs w:val="32"/>
          <w:highlight w:val="none"/>
          <w:u w:val="none"/>
          <w:lang w:val="en-US" w:eastAsia="zh-CN"/>
        </w:rPr>
        <w:t>。</w:t>
      </w:r>
    </w:p>
    <w:p>
      <w:pPr>
        <w:pStyle w:val="2"/>
        <w:ind w:firstLine="640" w:firstLineChars="200"/>
        <w:rPr>
          <w:rFonts w:hint="default" w:ascii="Times New Roman" w:hAnsi="Times New Roman" w:eastAsia="方正仿宋_GBK" w:cs="Times New Roman"/>
          <w:color w:val="auto"/>
          <w:kern w:val="0"/>
          <w:sz w:val="32"/>
          <w:szCs w:val="32"/>
          <w:highlight w:val="none"/>
          <w:u w:val="none"/>
          <w:lang w:val="en-US" w:eastAsia="zh-CN"/>
        </w:rPr>
      </w:pPr>
      <w:r>
        <w:rPr>
          <w:rFonts w:hint="default" w:ascii="Times New Roman" w:hAnsi="Times New Roman" w:eastAsia="方正仿宋_GBK" w:cs="Times New Roman"/>
          <w:kern w:val="0"/>
          <w:sz w:val="32"/>
          <w:szCs w:val="32"/>
          <w:highlight w:val="none"/>
          <w:u w:val="none"/>
          <w:lang w:val="en-US" w:eastAsia="zh-CN"/>
        </w:rPr>
        <w:t>38、</w:t>
      </w:r>
      <w:r>
        <w:rPr>
          <w:rFonts w:hint="default" w:ascii="Times New Roman" w:hAnsi="Times New Roman" w:eastAsia="方正仿宋_GBK" w:cs="Times New Roman"/>
          <w:color w:val="auto"/>
          <w:kern w:val="0"/>
          <w:sz w:val="32"/>
          <w:szCs w:val="32"/>
          <w:highlight w:val="none"/>
          <w:u w:val="none"/>
          <w:lang w:val="en-US" w:eastAsia="zh-CN"/>
        </w:rPr>
        <w:t>2025年退役军人职业培训就业创业补助经费-市本级88万元，用于2025年度政府安排退役士兵（退出消防员）</w:t>
      </w:r>
      <w:r>
        <w:rPr>
          <w:rFonts w:hint="default" w:ascii="Times New Roman" w:hAnsi="Times New Roman" w:eastAsia="方正仿宋_GBK" w:cs="Times New Roman"/>
          <w:color w:val="auto"/>
          <w:kern w:val="0"/>
          <w:sz w:val="32"/>
          <w:szCs w:val="32"/>
          <w:highlight w:val="none"/>
          <w:u w:val="none"/>
          <w:lang w:eastAsia="zh-CN"/>
        </w:rPr>
        <w:t>及自主就业退役士兵</w:t>
      </w:r>
      <w:r>
        <w:rPr>
          <w:rFonts w:hint="default" w:ascii="Times New Roman" w:hAnsi="Times New Roman" w:eastAsia="方正仿宋_GBK" w:cs="Times New Roman"/>
          <w:color w:val="auto"/>
          <w:kern w:val="0"/>
          <w:sz w:val="32"/>
          <w:szCs w:val="32"/>
          <w:highlight w:val="none"/>
          <w:u w:val="none"/>
          <w:lang w:val="en-US" w:eastAsia="zh-CN"/>
        </w:rPr>
        <w:t>适应性培训</w:t>
      </w:r>
      <w:r>
        <w:rPr>
          <w:rFonts w:hint="default" w:ascii="Times New Roman" w:hAnsi="Times New Roman" w:eastAsia="方正仿宋_GBK" w:cs="Times New Roman"/>
          <w:color w:val="auto"/>
          <w:kern w:val="0"/>
          <w:sz w:val="32"/>
          <w:szCs w:val="32"/>
          <w:highlight w:val="none"/>
          <w:u w:val="none"/>
          <w:lang w:eastAsia="zh-CN"/>
        </w:rPr>
        <w:t>及购买书籍、</w:t>
      </w:r>
      <w:r>
        <w:rPr>
          <w:rFonts w:hint="default" w:ascii="Times New Roman" w:hAnsi="Times New Roman" w:eastAsia="方正仿宋_GBK" w:cs="Times New Roman"/>
          <w:color w:val="auto"/>
          <w:kern w:val="0"/>
          <w:sz w:val="32"/>
          <w:szCs w:val="32"/>
          <w:highlight w:val="none"/>
          <w:u w:val="none"/>
          <w:lang w:val="en-US" w:eastAsia="zh-CN"/>
        </w:rPr>
        <w:t>举办“戎耀湾区·筑业未来”2025年粤港澳大湾区退役军人及军属招聘活动暨军创企业·拥军企业展示交流会（江门专场），</w:t>
      </w:r>
      <w:r>
        <w:rPr>
          <w:rFonts w:hint="default" w:ascii="Times New Roman" w:hAnsi="Times New Roman" w:eastAsia="方正仿宋_GBK" w:cs="Times New Roman"/>
          <w:color w:val="auto"/>
          <w:kern w:val="0"/>
          <w:sz w:val="32"/>
          <w:szCs w:val="32"/>
          <w:highlight w:val="none"/>
          <w:u w:val="none"/>
          <w:lang w:eastAsia="zh-CN"/>
        </w:rPr>
        <w:t>自主就业退役士兵适应性培训</w:t>
      </w:r>
      <w:r>
        <w:rPr>
          <w:rFonts w:hint="default" w:ascii="Times New Roman" w:hAnsi="Times New Roman" w:eastAsia="方正仿宋_GBK" w:cs="Times New Roman"/>
          <w:color w:val="auto"/>
          <w:kern w:val="0"/>
          <w:sz w:val="32"/>
          <w:szCs w:val="32"/>
          <w:highlight w:val="none"/>
          <w:u w:val="none"/>
          <w:lang w:val="en-US" w:eastAsia="zh-CN"/>
        </w:rPr>
        <w:t>标准为1</w:t>
      </w:r>
      <w:r>
        <w:rPr>
          <w:rFonts w:hint="default" w:ascii="Times New Roman" w:hAnsi="Times New Roman" w:eastAsia="方正仿宋_GBK" w:cs="Times New Roman"/>
          <w:color w:val="auto"/>
          <w:kern w:val="0"/>
          <w:sz w:val="32"/>
          <w:szCs w:val="32"/>
          <w:highlight w:val="none"/>
          <w:u w:val="none"/>
          <w:lang w:eastAsia="zh-CN"/>
        </w:rPr>
        <w:t>00</w:t>
      </w:r>
      <w:r>
        <w:rPr>
          <w:rFonts w:hint="default" w:ascii="Times New Roman" w:hAnsi="Times New Roman" w:eastAsia="方正仿宋_GBK" w:cs="Times New Roman"/>
          <w:color w:val="auto"/>
          <w:kern w:val="0"/>
          <w:sz w:val="32"/>
          <w:szCs w:val="32"/>
          <w:highlight w:val="none"/>
          <w:u w:val="none"/>
          <w:lang w:val="en-US" w:eastAsia="zh-CN"/>
        </w:rPr>
        <w:t xml:space="preserve">0元/人，共 </w:t>
      </w:r>
      <w:r>
        <w:rPr>
          <w:rFonts w:hint="default" w:ascii="Times New Roman" w:hAnsi="Times New Roman" w:eastAsia="方正仿宋_GBK" w:cs="Times New Roman"/>
          <w:color w:val="auto"/>
          <w:kern w:val="0"/>
          <w:sz w:val="32"/>
          <w:szCs w:val="32"/>
          <w:highlight w:val="none"/>
          <w:u w:val="none"/>
          <w:lang w:eastAsia="zh-CN"/>
        </w:rPr>
        <w:t>332</w:t>
      </w:r>
      <w:r>
        <w:rPr>
          <w:rFonts w:hint="default" w:ascii="Times New Roman" w:hAnsi="Times New Roman" w:eastAsia="方正仿宋_GBK" w:cs="Times New Roman"/>
          <w:color w:val="auto"/>
          <w:kern w:val="0"/>
          <w:sz w:val="32"/>
          <w:szCs w:val="32"/>
          <w:highlight w:val="none"/>
          <w:u w:val="none"/>
          <w:lang w:val="en-US" w:eastAsia="zh-CN"/>
        </w:rPr>
        <w:t>人。</w:t>
      </w:r>
    </w:p>
    <w:p>
      <w:pPr>
        <w:pStyle w:val="2"/>
        <w:ind w:firstLine="640" w:firstLineChars="200"/>
        <w:rPr>
          <w:rFonts w:hint="default" w:ascii="Times New Roman" w:hAnsi="Times New Roman" w:eastAsia="方正仿宋_GBK" w:cs="Times New Roman"/>
          <w:color w:val="auto"/>
          <w:kern w:val="0"/>
          <w:sz w:val="32"/>
          <w:szCs w:val="32"/>
          <w:highlight w:val="none"/>
          <w:u w:val="none"/>
          <w:lang w:val="en-US" w:eastAsia="zh-CN"/>
        </w:rPr>
      </w:pPr>
      <w:r>
        <w:rPr>
          <w:rFonts w:hint="default" w:ascii="Times New Roman" w:hAnsi="Times New Roman" w:eastAsia="方正仿宋_GBK" w:cs="Times New Roman"/>
          <w:color w:val="auto"/>
          <w:kern w:val="0"/>
          <w:sz w:val="32"/>
          <w:szCs w:val="32"/>
          <w:highlight w:val="none"/>
          <w:u w:val="none"/>
          <w:lang w:val="en-US" w:eastAsia="zh-CN"/>
        </w:rPr>
        <w:t>成效亮点：</w:t>
      </w:r>
      <w:r>
        <w:rPr>
          <w:rFonts w:hint="default" w:ascii="Times New Roman" w:hAnsi="Times New Roman" w:eastAsia="方正仿宋_GBK" w:cs="Times New Roman"/>
          <w:color w:val="auto"/>
          <w:kern w:val="0"/>
          <w:sz w:val="32"/>
          <w:szCs w:val="32"/>
          <w:highlight w:val="none"/>
          <w:u w:val="none"/>
          <w:lang w:eastAsia="zh-CN"/>
        </w:rPr>
        <w:t>我市开展线上、线下适应性班，</w:t>
      </w:r>
      <w:r>
        <w:rPr>
          <w:rFonts w:hint="default" w:ascii="Times New Roman" w:hAnsi="Times New Roman" w:eastAsia="方正仿宋_GBK" w:cs="Times New Roman"/>
          <w:color w:val="auto"/>
          <w:kern w:val="0"/>
          <w:sz w:val="32"/>
          <w:szCs w:val="32"/>
          <w:highlight w:val="none"/>
          <w:u w:val="none"/>
          <w:lang w:val="en-US" w:eastAsia="zh-CN"/>
        </w:rPr>
        <w:t>共978名退役士兵参加春秋两季</w:t>
      </w:r>
      <w:r>
        <w:rPr>
          <w:rFonts w:hint="default" w:ascii="Times New Roman" w:hAnsi="Times New Roman" w:eastAsia="方正仿宋_GBK" w:cs="Times New Roman"/>
          <w:color w:val="auto"/>
          <w:kern w:val="0"/>
          <w:sz w:val="32"/>
          <w:szCs w:val="32"/>
          <w:highlight w:val="none"/>
          <w:u w:val="none"/>
          <w:lang w:eastAsia="zh-CN"/>
        </w:rPr>
        <w:t>全员</w:t>
      </w:r>
      <w:r>
        <w:rPr>
          <w:rFonts w:hint="default" w:ascii="Times New Roman" w:hAnsi="Times New Roman" w:eastAsia="方正仿宋_GBK" w:cs="Times New Roman"/>
          <w:color w:val="auto"/>
          <w:kern w:val="0"/>
          <w:sz w:val="32"/>
          <w:szCs w:val="32"/>
          <w:highlight w:val="none"/>
          <w:u w:val="none"/>
          <w:lang w:val="en-US" w:eastAsia="zh-CN"/>
        </w:rPr>
        <w:t>适应性培训，参训率达99%。</w:t>
      </w:r>
      <w:r>
        <w:rPr>
          <w:rFonts w:hint="default" w:ascii="Times New Roman" w:hAnsi="Times New Roman" w:eastAsia="方正仿宋_GBK" w:cs="Times New Roman"/>
          <w:color w:val="auto"/>
          <w:sz w:val="32"/>
          <w:szCs w:val="32"/>
          <w:highlight w:val="none"/>
          <w:u w:val="none"/>
          <w:lang w:val="en-US" w:eastAsia="zh-CN"/>
        </w:rPr>
        <w:t>深化落实“戎归南粤”就业创业工程、省促进退役军人高质量充分就业“八大行动”，推动全市退役军人就业创业工作高质量发展。</w:t>
      </w:r>
      <w:r>
        <w:rPr>
          <w:rFonts w:hint="default" w:ascii="Times New Roman" w:hAnsi="Times New Roman" w:eastAsia="方正仿宋_GBK" w:cs="Times New Roman"/>
          <w:color w:val="auto"/>
          <w:kern w:val="0"/>
          <w:sz w:val="32"/>
          <w:szCs w:val="32"/>
          <w:highlight w:val="none"/>
          <w:u w:val="none"/>
          <w:lang w:val="en-US" w:eastAsia="zh-CN"/>
        </w:rPr>
        <w:t>举办“戎耀湾区·筑业未来”2025年粤港澳大湾区退役军人及军属招聘活动暨军创企业·拥军企业展示交流会（江门专场）</w:t>
      </w:r>
      <w:r>
        <w:rPr>
          <w:rFonts w:hint="default" w:ascii="Times New Roman" w:hAnsi="Times New Roman" w:eastAsia="方正仿宋_GBK" w:cs="Times New Roman"/>
          <w:color w:val="auto"/>
          <w:kern w:val="0"/>
          <w:sz w:val="32"/>
          <w:szCs w:val="32"/>
          <w:highlight w:val="none"/>
          <w:u w:val="none"/>
          <w:lang w:eastAsia="zh-CN"/>
        </w:rPr>
        <w:t>，</w:t>
      </w:r>
      <w:r>
        <w:rPr>
          <w:rFonts w:hint="default" w:ascii="Times New Roman" w:hAnsi="Times New Roman" w:eastAsia="方正仿宋_GBK" w:cs="Times New Roman"/>
          <w:color w:val="auto"/>
          <w:kern w:val="0"/>
          <w:sz w:val="32"/>
          <w:szCs w:val="32"/>
          <w:highlight w:val="none"/>
          <w:u w:val="none"/>
          <w:lang w:val="en-US" w:eastAsia="zh-CN"/>
        </w:rPr>
        <w:t>来自粤港澳大湾区的240余家企业集中亮相，提供涵盖物流、新能源、通信、智能制造、应急消防、现代服务等领域的3500余个优质岗位，活动受到上级部门的肯定。</w:t>
      </w:r>
    </w:p>
    <w:p>
      <w:pPr>
        <w:ind w:firstLine="640" w:firstLineChars="200"/>
        <w:rPr>
          <w:rFonts w:ascii="黑体" w:hAnsi="黑体" w:eastAsia="黑体" w:cs="宋体"/>
          <w:kern w:val="0"/>
          <w:sz w:val="32"/>
          <w:szCs w:val="32"/>
          <w:highlight w:val="none"/>
          <w:lang w:val="zh-CN"/>
        </w:rPr>
      </w:pPr>
      <w:r>
        <w:rPr>
          <w:rFonts w:hint="eastAsia" w:ascii="黑体" w:hAnsi="黑体" w:eastAsia="黑体" w:cs="宋体"/>
          <w:kern w:val="0"/>
          <w:sz w:val="32"/>
          <w:szCs w:val="32"/>
          <w:highlight w:val="none"/>
          <w:lang w:val="zh-CN"/>
        </w:rPr>
        <w:t>二、绩效自评情况</w:t>
      </w:r>
    </w:p>
    <w:p>
      <w:pPr>
        <w:ind w:firstLine="640" w:firstLineChars="200"/>
        <w:rPr>
          <w:rFonts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（一）自评结论</w:t>
      </w:r>
    </w:p>
    <w:p>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我局高度重视整体绩效自评工作，由主管领导、财务人员和各部门负责人组成评价小组。学习领会文件精神，明确分工，落实责任，认真开展自评自查工作。我局对202</w:t>
      </w:r>
      <w:r>
        <w:rPr>
          <w:rFonts w:hint="eastAsia" w:ascii="仿宋_GB2312" w:eastAsia="仿宋_GB2312" w:cs="宋体"/>
          <w:kern w:val="0"/>
          <w:sz w:val="32"/>
          <w:szCs w:val="32"/>
          <w:highlight w:val="none"/>
          <w:lang w:val="en-US" w:eastAsia="zh-CN"/>
        </w:rPr>
        <w:t>5</w:t>
      </w:r>
      <w:r>
        <w:rPr>
          <w:rFonts w:hint="eastAsia" w:ascii="仿宋_GB2312" w:eastAsia="仿宋_GB2312" w:cs="宋体"/>
          <w:kern w:val="0"/>
          <w:sz w:val="32"/>
          <w:szCs w:val="32"/>
          <w:highlight w:val="none"/>
          <w:lang w:val="zh-CN"/>
        </w:rPr>
        <w:t>年整体支出绩效自评结果为优秀，自评得分</w:t>
      </w:r>
      <w:r>
        <w:rPr>
          <w:rFonts w:hint="eastAsia" w:ascii="仿宋_GB2312" w:eastAsia="仿宋_GB2312" w:cs="宋体"/>
          <w:kern w:val="0"/>
          <w:sz w:val="32"/>
          <w:szCs w:val="32"/>
          <w:highlight w:val="none"/>
          <w:lang w:val="en-US" w:eastAsia="zh-CN"/>
        </w:rPr>
        <w:t>100</w:t>
      </w:r>
      <w:r>
        <w:rPr>
          <w:rFonts w:hint="eastAsia" w:ascii="仿宋_GB2312" w:eastAsia="仿宋_GB2312" w:cs="宋体"/>
          <w:kern w:val="0"/>
          <w:sz w:val="32"/>
          <w:szCs w:val="32"/>
          <w:highlight w:val="none"/>
          <w:lang w:val="zh-CN"/>
        </w:rPr>
        <w:t>分。</w:t>
      </w:r>
    </w:p>
    <w:p>
      <w:pPr>
        <w:ind w:firstLine="640" w:firstLineChars="200"/>
        <w:rPr>
          <w:rFonts w:hint="eastAsia" w:ascii="仿宋_GB2312" w:eastAsia="仿宋_GB2312" w:cs="宋体"/>
          <w:kern w:val="0"/>
          <w:sz w:val="32"/>
          <w:szCs w:val="32"/>
          <w:highlight w:val="none"/>
          <w:lang w:val="zh-CN"/>
        </w:rPr>
      </w:pPr>
      <w:r>
        <w:rPr>
          <w:rFonts w:hint="eastAsia" w:ascii="仿宋_GB2312" w:eastAsia="仿宋_GB2312" w:cs="宋体"/>
          <w:kern w:val="0"/>
          <w:sz w:val="32"/>
          <w:szCs w:val="32"/>
          <w:highlight w:val="none"/>
          <w:lang w:val="zh-CN"/>
        </w:rPr>
        <w:t>（二）履职效能分析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0"/>
          <w:sz w:val="32"/>
          <w:szCs w:val="32"/>
          <w:lang w:val="zh-CN"/>
        </w:rPr>
      </w:pPr>
      <w:r>
        <w:rPr>
          <w:rFonts w:hint="eastAsia" w:ascii="方正仿宋_GBK" w:hAnsi="方正仿宋_GBK" w:eastAsia="方正仿宋_GBK" w:cs="方正仿宋_GBK"/>
          <w:kern w:val="0"/>
          <w:sz w:val="32"/>
          <w:szCs w:val="32"/>
        </w:rPr>
        <w:t>退役军人</w:t>
      </w:r>
      <w:r>
        <w:rPr>
          <w:rFonts w:hint="eastAsia" w:ascii="方正仿宋_GBK" w:hAnsi="方正仿宋_GBK" w:eastAsia="方正仿宋_GBK" w:cs="方正仿宋_GBK"/>
          <w:kern w:val="0"/>
          <w:sz w:val="32"/>
          <w:szCs w:val="32"/>
          <w:lang w:val="zh-CN"/>
        </w:rPr>
        <w:t>各项工作扎实有效推进，顺利完成市委市政府下达的各项目标任务。部门整体支出绩效指标全部按要求完成。</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方正仿宋_GBK" w:hAnsi="方正仿宋_GBK" w:eastAsia="方正仿宋_GBK" w:cs="方正仿宋_GBK"/>
          <w:kern w:val="0"/>
          <w:sz w:val="32"/>
          <w:szCs w:val="32"/>
          <w:lang w:val="zh-CN"/>
        </w:rPr>
      </w:pPr>
      <w:r>
        <w:rPr>
          <w:rFonts w:hint="eastAsia" w:ascii="方正仿宋_GBK" w:hAnsi="方正仿宋_GBK" w:eastAsia="方正仿宋_GBK" w:cs="方正仿宋_GBK"/>
          <w:kern w:val="0"/>
          <w:sz w:val="32"/>
          <w:szCs w:val="32"/>
          <w:lang w:val="zh-CN"/>
        </w:rPr>
        <w:t>存在的问题：</w:t>
      </w:r>
      <w:r>
        <w:rPr>
          <w:rFonts w:hint="eastAsia" w:ascii="方正仿宋_GBK" w:hAnsi="方正仿宋_GBK" w:eastAsia="方正仿宋_GBK" w:cs="方正仿宋_GBK"/>
          <w:kern w:val="0"/>
          <w:sz w:val="32"/>
          <w:szCs w:val="32"/>
        </w:rPr>
        <w:t>一是绩效</w:t>
      </w:r>
      <w:r>
        <w:rPr>
          <w:rFonts w:hint="eastAsia" w:ascii="方正仿宋_GBK" w:hAnsi="方正仿宋_GBK" w:eastAsia="方正仿宋_GBK" w:cs="方正仿宋_GBK"/>
          <w:kern w:val="0"/>
          <w:sz w:val="32"/>
          <w:szCs w:val="32"/>
          <w:lang w:eastAsia="zh-CN"/>
        </w:rPr>
        <w:t>指标设置不够科学合理，对目标设置有待进一步优化。</w:t>
      </w:r>
      <w:r>
        <w:rPr>
          <w:rFonts w:hint="eastAsia" w:ascii="方正仿宋_GBK" w:hAnsi="方正仿宋_GBK" w:eastAsia="方正仿宋_GBK" w:cs="方正仿宋_GBK"/>
          <w:kern w:val="0"/>
          <w:sz w:val="32"/>
          <w:szCs w:val="32"/>
        </w:rPr>
        <w:t>二是</w:t>
      </w:r>
      <w:r>
        <w:rPr>
          <w:rFonts w:hint="eastAsia" w:ascii="方正仿宋_GBK" w:hAnsi="方正仿宋_GBK" w:eastAsia="方正仿宋_GBK" w:cs="方正仿宋_GBK"/>
          <w:kern w:val="0"/>
          <w:sz w:val="32"/>
          <w:szCs w:val="32"/>
          <w:lang w:eastAsia="zh-CN"/>
        </w:rPr>
        <w:t>绩效执行管理不够理想，</w:t>
      </w:r>
      <w:r>
        <w:rPr>
          <w:rFonts w:hint="eastAsia" w:ascii="方正仿宋_GBK" w:hAnsi="方正仿宋_GBK" w:eastAsia="方正仿宋_GBK" w:cs="方正仿宋_GBK"/>
          <w:kern w:val="0"/>
          <w:sz w:val="32"/>
          <w:szCs w:val="32"/>
        </w:rPr>
        <w:t>个别项目资金支付进度缓慢，未达到资金预期目标</w:t>
      </w:r>
      <w:r>
        <w:rPr>
          <w:rFonts w:hint="eastAsia" w:ascii="方正仿宋_GBK" w:hAnsi="方正仿宋_GBK" w:eastAsia="方正仿宋_GBK" w:cs="方正仿宋_GBK"/>
          <w:kern w:val="0"/>
          <w:sz w:val="32"/>
          <w:szCs w:val="32"/>
          <w:lang w:val="zh-CN"/>
        </w:rPr>
        <w:t>。</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（三）管理效率分析</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en-US" w:eastAsia="zh-CN"/>
        </w:rPr>
        <w:t>1.</w:t>
      </w:r>
      <w:r>
        <w:rPr>
          <w:rFonts w:hint="default" w:ascii="Times New Roman" w:hAnsi="Times New Roman" w:eastAsia="方正仿宋_GBK" w:cs="Times New Roman"/>
          <w:kern w:val="0"/>
          <w:sz w:val="32"/>
          <w:szCs w:val="32"/>
          <w:highlight w:val="none"/>
          <w:lang w:val="zh-CN"/>
        </w:rPr>
        <w:t>预算编制方面。严格遵循“量入为出、统筹兼顾、保障重点”原则，紧扣拥军优抚，安置就业、权益维护等核心职能，精准测算年度资金需求。结合上一年度预算执行率、项目绩效完成情况，优化资金投向，确保预算编制与年度工作目标、民生保障重点高度契合。</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en-US" w:eastAsia="zh-CN"/>
        </w:rPr>
        <w:t>2.</w:t>
      </w:r>
      <w:r>
        <w:rPr>
          <w:rFonts w:hint="default" w:ascii="Times New Roman" w:hAnsi="Times New Roman" w:eastAsia="方正仿宋_GBK" w:cs="Times New Roman"/>
          <w:kern w:val="0"/>
          <w:sz w:val="32"/>
          <w:szCs w:val="32"/>
          <w:highlight w:val="none"/>
          <w:lang w:val="zh-CN"/>
        </w:rPr>
        <w:t xml:space="preserve"> 目标设置方面。围绕局年度重点工作，科学设定涵盖业务指标、服务指标、效益指标在内的多层次绩效目标。目标设定充分结合上级部署、地方实际及退役军人需求，做到可量化、可考核、可评价。</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en-US" w:eastAsia="zh-CN"/>
        </w:rPr>
        <w:t>3.</w:t>
      </w:r>
      <w:r>
        <w:rPr>
          <w:rFonts w:hint="default" w:ascii="Times New Roman" w:hAnsi="Times New Roman" w:eastAsia="方正仿宋_GBK" w:cs="Times New Roman"/>
          <w:kern w:val="0"/>
          <w:sz w:val="32"/>
          <w:szCs w:val="32"/>
          <w:highlight w:val="none"/>
          <w:lang w:val="zh-CN"/>
        </w:rPr>
        <w:t>成本管控方面。严格执行中央、省、市关于厉行节约的要求，严控一般性支出，大力压减非刚性、非重点项目支出。优化经费支出结构，将有限资金向退役军人急难愁盼问题、关键业务领域倾斜。</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en-US" w:eastAsia="zh-CN"/>
        </w:rPr>
        <w:t>4.</w:t>
      </w:r>
      <w:r>
        <w:rPr>
          <w:rFonts w:hint="default" w:ascii="Times New Roman" w:hAnsi="Times New Roman" w:eastAsia="方正仿宋_GBK" w:cs="Times New Roman"/>
          <w:kern w:val="0"/>
          <w:sz w:val="32"/>
          <w:szCs w:val="32"/>
          <w:highlight w:val="none"/>
          <w:lang w:val="zh-CN"/>
        </w:rPr>
        <w:t xml:space="preserve">预算执行方面。严格按照批准的预算组织执行，严格遵循国库集中支付制度和专项资金管理办法，确保资金拨付及时、安全、合规。 </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en-US" w:eastAsia="zh-CN"/>
        </w:rPr>
        <w:t>5.</w:t>
      </w:r>
      <w:r>
        <w:rPr>
          <w:rFonts w:hint="default" w:ascii="Times New Roman" w:hAnsi="Times New Roman" w:eastAsia="方正仿宋_GBK" w:cs="Times New Roman"/>
          <w:kern w:val="0"/>
          <w:sz w:val="32"/>
          <w:szCs w:val="32"/>
          <w:highlight w:val="none"/>
          <w:lang w:val="zh-CN"/>
        </w:rPr>
        <w:t>绩效管理方面。组织开展年度绩效自评和重点项目绩效评价，对预算编制、执行、产出、效益等环节进行全面评估。评价结果客观反映了各项工作的实际成效，为后续工作提供了重要依据。</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en-US" w:eastAsia="zh-CN"/>
        </w:rPr>
        <w:t>6.</w:t>
      </w:r>
      <w:r>
        <w:rPr>
          <w:rFonts w:hint="default" w:ascii="Times New Roman" w:hAnsi="Times New Roman" w:eastAsia="方正仿宋_GBK" w:cs="Times New Roman"/>
          <w:kern w:val="0"/>
          <w:sz w:val="32"/>
          <w:szCs w:val="32"/>
          <w:highlight w:val="none"/>
          <w:lang w:val="zh-CN"/>
        </w:rPr>
        <w:t>信息公开方面。严格按照政府信息公开条例要求，及时、准确、全面公开预算、决算信息、绩效目标、绩效评价结果等内容，确保公众知情权、参与权、监督权得到充分保障。</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highlight w:val="none"/>
          <w:lang w:val="zh-CN"/>
        </w:rPr>
        <w:t>（四）就部门整体支出绩效管理存在问题提出改进措施。</w:t>
      </w:r>
    </w:p>
    <w:p>
      <w:pPr>
        <w:ind w:firstLine="640" w:firstLineChars="200"/>
        <w:rPr>
          <w:rFonts w:hint="default" w:ascii="Times New Roman" w:hAnsi="Times New Roman" w:eastAsia="方正仿宋_GBK" w:cs="Times New Roman"/>
          <w:kern w:val="0"/>
          <w:sz w:val="32"/>
          <w:szCs w:val="32"/>
          <w:highlight w:val="none"/>
          <w:lang w:val="zh-CN"/>
        </w:rPr>
      </w:pPr>
      <w:r>
        <w:rPr>
          <w:rFonts w:hint="default" w:ascii="Times New Roman" w:hAnsi="Times New Roman" w:eastAsia="方正仿宋_GBK" w:cs="Times New Roman"/>
          <w:kern w:val="0"/>
          <w:sz w:val="32"/>
          <w:szCs w:val="32"/>
        </w:rPr>
        <w:t>一是</w:t>
      </w:r>
      <w:r>
        <w:rPr>
          <w:rFonts w:hint="default" w:ascii="Times New Roman" w:hAnsi="Times New Roman" w:eastAsia="方正仿宋_GBK" w:cs="Times New Roman"/>
          <w:kern w:val="0"/>
          <w:sz w:val="32"/>
          <w:szCs w:val="32"/>
          <w:lang w:eastAsia="zh-CN"/>
        </w:rPr>
        <w:t>加强学习培训，提升工作人员业务水平，结合工作实际，更科学地设置绩效指标</w:t>
      </w:r>
      <w:r>
        <w:rPr>
          <w:rFonts w:hint="default" w:ascii="Times New Roman" w:hAnsi="Times New Roman" w:eastAsia="方正仿宋_GBK" w:cs="Times New Roman"/>
          <w:kern w:val="0"/>
          <w:sz w:val="32"/>
          <w:szCs w:val="32"/>
        </w:rPr>
        <w:t>；</w:t>
      </w:r>
      <w:r>
        <w:rPr>
          <w:rFonts w:hint="default" w:ascii="Times New Roman" w:hAnsi="Times New Roman" w:eastAsia="方正仿宋_GBK" w:cs="Times New Roman"/>
          <w:kern w:val="0"/>
          <w:sz w:val="32"/>
          <w:szCs w:val="32"/>
          <w:lang w:eastAsia="zh-CN"/>
        </w:rPr>
        <w:t>二</w:t>
      </w:r>
      <w:r>
        <w:rPr>
          <w:rFonts w:hint="default" w:ascii="Times New Roman" w:hAnsi="Times New Roman" w:eastAsia="方正仿宋_GBK" w:cs="Times New Roman"/>
          <w:kern w:val="0"/>
          <w:sz w:val="32"/>
          <w:szCs w:val="32"/>
        </w:rPr>
        <w:t>是加强预算执行管理，</w:t>
      </w:r>
      <w:r>
        <w:rPr>
          <w:rFonts w:hint="default" w:ascii="Times New Roman" w:hAnsi="Times New Roman" w:eastAsia="方正仿宋_GBK" w:cs="Times New Roman"/>
          <w:kern w:val="0"/>
          <w:sz w:val="32"/>
          <w:szCs w:val="32"/>
          <w:lang w:eastAsia="zh-CN"/>
        </w:rPr>
        <w:t>定期梳理绩效执行情况，督促资金使用部门提高使用效率</w:t>
      </w:r>
      <w:r>
        <w:rPr>
          <w:rFonts w:hint="default" w:ascii="Times New Roman" w:hAnsi="Times New Roman" w:eastAsia="方正仿宋_GBK" w:cs="Times New Roman"/>
          <w:kern w:val="0"/>
          <w:sz w:val="32"/>
          <w:szCs w:val="32"/>
        </w:rPr>
        <w:t>。</w:t>
      </w:r>
    </w:p>
    <w:p>
      <w:pPr>
        <w:ind w:firstLine="640" w:firstLineChars="200"/>
        <w:rPr>
          <w:rFonts w:ascii="黑体" w:hAnsi="黑体" w:eastAsia="黑体"/>
          <w:sz w:val="32"/>
          <w:szCs w:val="32"/>
          <w:highlight w:val="none"/>
        </w:rPr>
      </w:pPr>
      <w:r>
        <w:rPr>
          <w:rFonts w:hint="eastAsia" w:ascii="黑体" w:hAnsi="黑体" w:eastAsia="黑体" w:cs="宋体"/>
          <w:kern w:val="0"/>
          <w:sz w:val="32"/>
          <w:szCs w:val="32"/>
          <w:highlight w:val="none"/>
          <w:lang w:val="zh-CN"/>
        </w:rPr>
        <w:t>三、其他自评情况</w:t>
      </w:r>
    </w:p>
    <w:p>
      <w:pPr>
        <w:ind w:firstLine="640" w:firstLineChars="200"/>
        <w:outlineLvl w:val="1"/>
        <w:rPr>
          <w:rFonts w:hint="eastAsia" w:ascii="方正仿宋_GBK" w:hAnsi="方正仿宋_GBK" w:eastAsia="方正仿宋_GBK" w:cs="方正仿宋_GBK"/>
          <w:b w:val="0"/>
          <w:bCs/>
          <w:sz w:val="32"/>
          <w:szCs w:val="32"/>
          <w:highlight w:val="none"/>
          <w:lang w:eastAsia="zh-CN"/>
        </w:rPr>
      </w:pPr>
      <w:r>
        <w:rPr>
          <w:rFonts w:hint="eastAsia" w:ascii="方正仿宋_GBK" w:hAnsi="方正仿宋_GBK" w:eastAsia="方正仿宋_GBK" w:cs="方正仿宋_GBK"/>
          <w:b w:val="0"/>
          <w:bCs/>
          <w:sz w:val="32"/>
          <w:szCs w:val="32"/>
          <w:highlight w:val="none"/>
          <w:lang w:eastAsia="zh-CN"/>
        </w:rPr>
        <w:t>我局认真开展自评自查，按时保质完成绩效自评工作，确保自评结果准确、客观，禁止弄虚作假。通过本次绩效自评，形成《整体绩效自评报告》、《整体绩效自评指标评分表》、《佐证材料清单》。</w:t>
      </w:r>
    </w:p>
    <w:p>
      <w:pPr>
        <w:ind w:firstLine="640" w:firstLineChars="200"/>
        <w:outlineLvl w:val="1"/>
        <w:rPr>
          <w:rFonts w:hint="eastAsia" w:ascii="黑体" w:hAnsi="黑体" w:eastAsia="黑体" w:cs="黑体"/>
          <w:b w:val="0"/>
          <w:bCs/>
          <w:sz w:val="32"/>
          <w:szCs w:val="32"/>
          <w:highlight w:val="none"/>
          <w:lang w:eastAsia="zh-CN"/>
        </w:rPr>
      </w:pPr>
      <w:r>
        <w:rPr>
          <w:rFonts w:hint="eastAsia" w:ascii="黑体" w:hAnsi="黑体" w:eastAsia="黑体" w:cs="黑体"/>
          <w:b w:val="0"/>
          <w:bCs/>
          <w:sz w:val="32"/>
          <w:szCs w:val="32"/>
          <w:highlight w:val="none"/>
          <w:lang w:eastAsia="zh-CN"/>
        </w:rPr>
        <w:t>四、上年度绩效自评或财政重点绩效评价整改情况</w:t>
      </w:r>
    </w:p>
    <w:p>
      <w:pPr>
        <w:ind w:firstLine="640" w:firstLineChars="200"/>
        <w:outlineLvl w:val="1"/>
        <w:rPr>
          <w:rFonts w:hint="eastAsia" w:ascii="方正仿宋_GBK" w:hAnsi="方正仿宋_GBK" w:eastAsia="方正仿宋_GBK" w:cs="方正仿宋_GBK"/>
          <w:b w:val="0"/>
          <w:bCs/>
          <w:sz w:val="32"/>
          <w:szCs w:val="32"/>
          <w:highlight w:val="none"/>
          <w:lang w:eastAsia="zh-CN"/>
        </w:rPr>
      </w:pPr>
      <w:r>
        <w:rPr>
          <w:rFonts w:hint="eastAsia" w:ascii="方正仿宋_GBK" w:hAnsi="方正仿宋_GBK" w:eastAsia="方正仿宋_GBK" w:cs="方正仿宋_GBK"/>
          <w:b w:val="0"/>
          <w:bCs/>
          <w:sz w:val="32"/>
          <w:szCs w:val="32"/>
          <w:highlight w:val="none"/>
          <w:lang w:eastAsia="zh-CN"/>
        </w:rPr>
        <w:t>无。</w:t>
      </w:r>
    </w:p>
    <w:sectPr>
      <w:headerReference r:id="rId5" w:type="first"/>
      <w:headerReference r:id="rId3" w:type="default"/>
      <w:footerReference r:id="rId6" w:type="default"/>
      <w:headerReference r:id="rId4" w:type="even"/>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8" w:usb3="00000000" w:csb0="400001FF" w:csb1="FFFF0000"/>
  </w:font>
  <w:font w:name="宋体">
    <w:altName w:val="方正书宋_GBK"/>
    <w:panose1 w:val="02010600030101010101"/>
    <w:charset w:val="50"/>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10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pPr>
                          <w:r>
                            <w:fldChar w:fldCharType="begin"/>
                          </w:r>
                          <w:r>
                            <w:instrText xml:space="preserve"> PAGE  \* MERGEFORMAT </w:instrText>
                          </w:r>
                          <w:r>
                            <w:fldChar w:fldCharType="separate"/>
                          </w:r>
                          <w:r>
                            <w:t>25</w:t>
                          </w:r>
                          <w:r>
                            <w:fldChar w:fldCharType="end"/>
                          </w:r>
                        </w:p>
                      </w:txbxContent>
                    </wps:txbx>
                    <wps:bodyPr wrap="none" lIns="0" tIns="0" rIns="0" bIns="0" upright="1">
                      <a:spAutoFit/>
                    </wps:bodyPr>
                  </wps:wsp>
                </a:graphicData>
              </a:graphic>
            </wp:anchor>
          </w:drawing>
        </mc:Choice>
        <mc:Fallback>
          <w:pict>
            <v:shape id="Text Box 10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zql5uc8A&#10;AAAFAQAADwAAAAAAAAABACAAAAA4AAAAZHJzL2Rvd25yZXYueG1sUEsBAhQAFAAAAAgAh07iQDas&#10;3VmgAQAATQMAAA4AAAAAAAAAAQAgAAAANAEAAGRycy9lMm9Eb2MueG1sUEsFBgAAAAAGAAYAWQEA&#10;AEYFAAAAAA==&#10;">
              <v:fill on="f" focussize="0,0"/>
              <v:stroke on="f"/>
              <v:imagedata o:title=""/>
              <o:lock v:ext="edit" aspectratio="f"/>
              <v:textbox inset="0mm,0mm,0mm,0mm" style="mso-fit-shape-to-text:t;">
                <w:txbxContent>
                  <w:p>
                    <w:pPr>
                      <w:pStyle w:val="3"/>
                    </w:pPr>
                    <w:r>
                      <w:fldChar w:fldCharType="begin"/>
                    </w:r>
                    <w:r>
                      <w:instrText xml:space="preserve"> PAGE  \* MERGEFORMAT </w:instrText>
                    </w:r>
                    <w:r>
                      <w:fldChar w:fldCharType="separate"/>
                    </w:r>
                    <w:r>
                      <w:t>25</w:t>
                    </w:r>
                    <w:r>
                      <w:fldChar w:fldCharType="end"/>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0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jc w:val="center"/>
                          </w:pPr>
                        </w:p>
                        <w:p/>
                      </w:txbxContent>
                    </wps:txbx>
                    <wps:bodyPr wrap="none" lIns="0" tIns="0" rIns="0" bIns="0" upright="1">
                      <a:spAutoFit/>
                    </wps:bodyPr>
                  </wps:wsp>
                </a:graphicData>
              </a:graphic>
            </wp:anchor>
          </w:drawing>
        </mc:Choice>
        <mc:Fallback>
          <w:pict>
            <v:shape id="Text Box 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">
              <v:fill on="f" focussize="0,0"/>
              <v:stroke on="f"/>
              <v:imagedata o:title=""/>
              <o:lock v:ext="edit" aspectratio="f"/>
              <v:textbox inset="0mm,0mm,0mm,0mm" style="mso-fit-shape-to-text:t;">
                <w:txbxContent>
                  <w:p>
                    <w:pPr>
                      <w:pStyle w:val="3"/>
                      <w:jc w:val="center"/>
                    </w:pPr>
                  </w:p>
                  <w:p/>
                </w:txbxContent>
              </v:textbox>
            </v:shape>
          </w:pict>
        </mc:Fallback>
      </mc:AlternateContent>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200"/>
  <w:bordersDoNotSurroundHeader w:val="1"/>
  <w:bordersDoNotSurroundFooter w:val="1"/>
  <w:trackRevisions w:val="1"/>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FF10C5"/>
    <w:rsid w:val="13DF6430"/>
    <w:rsid w:val="1B6714DC"/>
    <w:rsid w:val="1E3DAC81"/>
    <w:rsid w:val="2CAC0CC7"/>
    <w:rsid w:val="2E7CBB04"/>
    <w:rsid w:val="2FB69A1F"/>
    <w:rsid w:val="2FDA6654"/>
    <w:rsid w:val="3AFBA34F"/>
    <w:rsid w:val="3B7E7643"/>
    <w:rsid w:val="3BF6AA3D"/>
    <w:rsid w:val="3C5B2B54"/>
    <w:rsid w:val="3DFB9619"/>
    <w:rsid w:val="3E343065"/>
    <w:rsid w:val="3EB784E2"/>
    <w:rsid w:val="3EF9F5CB"/>
    <w:rsid w:val="3F2A662F"/>
    <w:rsid w:val="3FFF8A5A"/>
    <w:rsid w:val="49FFF061"/>
    <w:rsid w:val="4E9FFE00"/>
    <w:rsid w:val="4FCF5ED8"/>
    <w:rsid w:val="517F0D82"/>
    <w:rsid w:val="53B6730C"/>
    <w:rsid w:val="53BD1404"/>
    <w:rsid w:val="57BD773A"/>
    <w:rsid w:val="59B7F191"/>
    <w:rsid w:val="5BE54E51"/>
    <w:rsid w:val="5BEFEC6A"/>
    <w:rsid w:val="5BF3FE8F"/>
    <w:rsid w:val="5DEF43E7"/>
    <w:rsid w:val="5DFF2A58"/>
    <w:rsid w:val="5EBAF32B"/>
    <w:rsid w:val="5FA38C37"/>
    <w:rsid w:val="5FD70A04"/>
    <w:rsid w:val="5FDE5CC3"/>
    <w:rsid w:val="5FE3DB39"/>
    <w:rsid w:val="5FFB1051"/>
    <w:rsid w:val="62BF9678"/>
    <w:rsid w:val="67675191"/>
    <w:rsid w:val="69BE0B26"/>
    <w:rsid w:val="6BDA25A2"/>
    <w:rsid w:val="6BE739C1"/>
    <w:rsid w:val="6EDD2C2F"/>
    <w:rsid w:val="6FB98C96"/>
    <w:rsid w:val="6FEF52ED"/>
    <w:rsid w:val="6FF5F423"/>
    <w:rsid w:val="71F76243"/>
    <w:rsid w:val="732FA51D"/>
    <w:rsid w:val="73F39B2A"/>
    <w:rsid w:val="749BBBC4"/>
    <w:rsid w:val="75FFDB0C"/>
    <w:rsid w:val="761FDB66"/>
    <w:rsid w:val="76A63F30"/>
    <w:rsid w:val="776F3DB5"/>
    <w:rsid w:val="7773DEF9"/>
    <w:rsid w:val="777DE22A"/>
    <w:rsid w:val="779F81CB"/>
    <w:rsid w:val="77BBD85B"/>
    <w:rsid w:val="77C52023"/>
    <w:rsid w:val="77DB12BE"/>
    <w:rsid w:val="77FE9E4E"/>
    <w:rsid w:val="77FF2D1B"/>
    <w:rsid w:val="79DF0FDA"/>
    <w:rsid w:val="7AAD26A8"/>
    <w:rsid w:val="7AFEA4C6"/>
    <w:rsid w:val="7B7A3478"/>
    <w:rsid w:val="7BBBC549"/>
    <w:rsid w:val="7BEE8C97"/>
    <w:rsid w:val="7D498DD8"/>
    <w:rsid w:val="7D5B76CE"/>
    <w:rsid w:val="7DBDA3D9"/>
    <w:rsid w:val="7E578D81"/>
    <w:rsid w:val="7E7E586A"/>
    <w:rsid w:val="7EBB45AE"/>
    <w:rsid w:val="7EBBC506"/>
    <w:rsid w:val="7ED4BAB8"/>
    <w:rsid w:val="7EDDD17A"/>
    <w:rsid w:val="7EFE1F64"/>
    <w:rsid w:val="7F1C17EF"/>
    <w:rsid w:val="7F793F14"/>
    <w:rsid w:val="7F7BAE38"/>
    <w:rsid w:val="7F7F88FD"/>
    <w:rsid w:val="7F925F6F"/>
    <w:rsid w:val="7FAFA8EA"/>
    <w:rsid w:val="7FBFFD43"/>
    <w:rsid w:val="7FDF84BE"/>
    <w:rsid w:val="7FE30D47"/>
    <w:rsid w:val="7FFF10C5"/>
    <w:rsid w:val="7FFF1608"/>
    <w:rsid w:val="7FFF2D64"/>
    <w:rsid w:val="7FFF9F51"/>
    <w:rsid w:val="8B9FCFA2"/>
    <w:rsid w:val="92DDC338"/>
    <w:rsid w:val="9BA73728"/>
    <w:rsid w:val="9D5EB6D4"/>
    <w:rsid w:val="9DFF4070"/>
    <w:rsid w:val="9DFFBEA6"/>
    <w:rsid w:val="9E5B6323"/>
    <w:rsid w:val="9EDFEDA4"/>
    <w:rsid w:val="A7BF7CB9"/>
    <w:rsid w:val="AAFB57E5"/>
    <w:rsid w:val="AEFDEE38"/>
    <w:rsid w:val="AF1DC242"/>
    <w:rsid w:val="AFFB072A"/>
    <w:rsid w:val="BADB776C"/>
    <w:rsid w:val="BF0D4B6C"/>
    <w:rsid w:val="BF256713"/>
    <w:rsid w:val="BF5C1D2F"/>
    <w:rsid w:val="BFB9EED2"/>
    <w:rsid w:val="BFC32E56"/>
    <w:rsid w:val="BFD5BFB5"/>
    <w:rsid w:val="BFEF66EB"/>
    <w:rsid w:val="BFF7BB5B"/>
    <w:rsid w:val="BFFF51B7"/>
    <w:rsid w:val="BFFFFA16"/>
    <w:rsid w:val="C7A270FF"/>
    <w:rsid w:val="C7CE7515"/>
    <w:rsid w:val="CBEDB31E"/>
    <w:rsid w:val="CBF5B02F"/>
    <w:rsid w:val="D3A5DD59"/>
    <w:rsid w:val="D3EF6BBC"/>
    <w:rsid w:val="D67746AD"/>
    <w:rsid w:val="D6B7C154"/>
    <w:rsid w:val="D6DF2326"/>
    <w:rsid w:val="D6FFD6B6"/>
    <w:rsid w:val="D77A72FD"/>
    <w:rsid w:val="D77EEBF4"/>
    <w:rsid w:val="D7CF1BBD"/>
    <w:rsid w:val="D7D613E5"/>
    <w:rsid w:val="D7DFDCDD"/>
    <w:rsid w:val="D7FA0E2E"/>
    <w:rsid w:val="DBB2DAF4"/>
    <w:rsid w:val="DECEC8EF"/>
    <w:rsid w:val="DF3B8BDB"/>
    <w:rsid w:val="DF7899C7"/>
    <w:rsid w:val="DF7ECE53"/>
    <w:rsid w:val="DF7F026F"/>
    <w:rsid w:val="DF7F3C33"/>
    <w:rsid w:val="E7D706E5"/>
    <w:rsid w:val="EBEF08C0"/>
    <w:rsid w:val="EBF59C5B"/>
    <w:rsid w:val="EDD3264C"/>
    <w:rsid w:val="EDFD6FA0"/>
    <w:rsid w:val="EDFF58A4"/>
    <w:rsid w:val="EECD0FDC"/>
    <w:rsid w:val="EEF50DDD"/>
    <w:rsid w:val="EF6DBACF"/>
    <w:rsid w:val="EFF84F26"/>
    <w:rsid w:val="EFF9DD80"/>
    <w:rsid w:val="EFFDD28F"/>
    <w:rsid w:val="F29A8DE1"/>
    <w:rsid w:val="F3FFE12C"/>
    <w:rsid w:val="F4DD94CF"/>
    <w:rsid w:val="F68FE3C7"/>
    <w:rsid w:val="F717337F"/>
    <w:rsid w:val="F73DAFA4"/>
    <w:rsid w:val="F7EEB3C2"/>
    <w:rsid w:val="FA2F6D89"/>
    <w:rsid w:val="FB7F742A"/>
    <w:rsid w:val="FBB77C86"/>
    <w:rsid w:val="FBDE8194"/>
    <w:rsid w:val="FBF77CDC"/>
    <w:rsid w:val="FBFDC5E3"/>
    <w:rsid w:val="FCB70EFA"/>
    <w:rsid w:val="FCEF7AEC"/>
    <w:rsid w:val="FCFF29D9"/>
    <w:rsid w:val="FD7B9A25"/>
    <w:rsid w:val="FDC7C751"/>
    <w:rsid w:val="FE43ADC7"/>
    <w:rsid w:val="FEBD1531"/>
    <w:rsid w:val="FEED74B3"/>
    <w:rsid w:val="FEFE0539"/>
    <w:rsid w:val="FF6A6C33"/>
    <w:rsid w:val="FF772539"/>
    <w:rsid w:val="FFB95AC7"/>
    <w:rsid w:val="FFBA68BF"/>
    <w:rsid w:val="FFBD1828"/>
    <w:rsid w:val="FFBD9944"/>
    <w:rsid w:val="FFC1E6FE"/>
    <w:rsid w:val="FFC5D4BD"/>
    <w:rsid w:val="FFDD09F9"/>
    <w:rsid w:val="FFDE9779"/>
    <w:rsid w:val="FFE36BE8"/>
    <w:rsid w:val="FFE716EF"/>
    <w:rsid w:val="FFEB22AA"/>
    <w:rsid w:val="FFEF528A"/>
    <w:rsid w:val="FFEFBE73"/>
    <w:rsid w:val="FFF3F069"/>
    <w:rsid w:val="FFF567DC"/>
    <w:rsid w:val="FFF91FF7"/>
    <w:rsid w:val="FFFAAC9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0"/>
    <w:pPr>
      <w:spacing w:before="0" w:after="140" w:line="276" w:lineRule="auto"/>
    </w:p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Office_11.8.2.10605_F1E327BC-269C-435d-A152-05C5408002CA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2024-04-23T10:19:00Z</dcterms:created>
  <dc:creator>李晓蕾</dc:creator>
  <cp:lastModifiedBy>uos</cp:lastModifiedBy>
  <dcterms:modified xsi:type="dcterms:W3CDTF">2026-03-26T11:34:24Z</dcterms:modified>
  <dc:title>附件7</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B6F6E98EE89EBE7F60E2A769D1F36F84</vt:lpwstr>
  </property>
  <property fmtid="{D5CDD505-2E9C-101B-9397-08002B2CF9AE}" pid="3" name="KSOProductBuildVer">
    <vt:lpwstr>2052-11.8.2.10605</vt:lpwstr>
  </property>
</Properties>
</file>