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836FE6">
      <w:pPr>
        <w:spacing w:line="560" w:lineRule="exact"/>
        <w:rPr>
          <w:rFonts w:hint="eastAsia" w:ascii="黑体" w:hAnsi="黑体" w:eastAsia="黑体"/>
          <w:sz w:val="32"/>
          <w:szCs w:val="32"/>
        </w:rPr>
      </w:pPr>
      <w:r>
        <w:rPr>
          <w:rFonts w:hint="eastAsia" w:ascii="黑体" w:hAnsi="黑体" w:eastAsia="黑体"/>
          <w:sz w:val="32"/>
          <w:szCs w:val="32"/>
        </w:rPr>
        <w:t>附件2</w:t>
      </w:r>
    </w:p>
    <w:p w14:paraId="3B076E26">
      <w:pPr>
        <w:spacing w:line="560" w:lineRule="exact"/>
        <w:jc w:val="center"/>
        <w:rPr>
          <w:rFonts w:hint="eastAsia" w:ascii="方正小标宋_GBK" w:hAnsi="方正小标宋_GBK" w:eastAsia="方正小标宋_GBK" w:cs="方正小标宋_GBK"/>
          <w:sz w:val="28"/>
          <w:szCs w:val="28"/>
        </w:rPr>
      </w:pPr>
      <w:r>
        <w:rPr>
          <w:rFonts w:hint="eastAsia" w:ascii="方正小标宋_GBK" w:hAnsi="方正小标宋_GBK" w:eastAsia="方正小标宋_GBK" w:cs="方正小标宋_GBK"/>
          <w:sz w:val="48"/>
          <w:szCs w:val="48"/>
        </w:rPr>
        <w:t>评分表</w:t>
      </w:r>
    </w:p>
    <w:tbl>
      <w:tblPr>
        <w:tblStyle w:val="3"/>
        <w:tblW w:w="95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0"/>
        <w:gridCol w:w="1250"/>
        <w:gridCol w:w="7304"/>
      </w:tblGrid>
      <w:tr w14:paraId="5A23B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2290" w:type="dxa"/>
            <w:gridSpan w:val="2"/>
            <w:vAlign w:val="center"/>
          </w:tcPr>
          <w:p w14:paraId="6D743ACD">
            <w:pPr>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评审内容</w:t>
            </w:r>
          </w:p>
        </w:tc>
        <w:tc>
          <w:tcPr>
            <w:tcW w:w="7304" w:type="dxa"/>
            <w:vAlign w:val="center"/>
          </w:tcPr>
          <w:p w14:paraId="27C24DD6">
            <w:pPr>
              <w:spacing w:line="360" w:lineRule="exact"/>
              <w:jc w:val="center"/>
              <w:rPr>
                <w:rFonts w:hint="eastAsia" w:ascii="仿宋_GB2312" w:hAnsi="仿宋_GB2312" w:eastAsia="仿宋_GB2312" w:cs="仿宋_GB2312"/>
                <w:szCs w:val="21"/>
                <w:u w:val="single"/>
              </w:rPr>
            </w:pPr>
            <w:r>
              <w:rPr>
                <w:rFonts w:hint="eastAsia" w:ascii="仿宋_GB2312" w:hAnsi="仿宋_GB2312" w:eastAsia="仿宋_GB2312" w:cs="仿宋_GB2312"/>
                <w:szCs w:val="21"/>
              </w:rPr>
              <w:t>评分标准</w:t>
            </w:r>
          </w:p>
        </w:tc>
      </w:tr>
      <w:tr w14:paraId="05F6F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7" w:hRule="atLeast"/>
          <w:jc w:val="center"/>
        </w:trPr>
        <w:tc>
          <w:tcPr>
            <w:tcW w:w="1040" w:type="dxa"/>
            <w:vMerge w:val="restart"/>
            <w:vAlign w:val="center"/>
          </w:tcPr>
          <w:p w14:paraId="4A96047B">
            <w:pPr>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商务部分评分</w:t>
            </w:r>
          </w:p>
          <w:p w14:paraId="4E264658">
            <w:pPr>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w:t>
            </w:r>
            <w:r>
              <w:rPr>
                <w:rFonts w:hint="eastAsia" w:ascii="仿宋_GB2312" w:hAnsi="仿宋_GB2312" w:eastAsia="仿宋_GB2312" w:cs="仿宋_GB2312"/>
                <w:szCs w:val="21"/>
                <w:lang w:val="en-US" w:eastAsia="zh-CN"/>
              </w:rPr>
              <w:t>35</w:t>
            </w:r>
            <w:r>
              <w:rPr>
                <w:rFonts w:hint="eastAsia" w:ascii="仿宋_GB2312" w:hAnsi="仿宋_GB2312" w:eastAsia="仿宋_GB2312" w:cs="仿宋_GB2312"/>
                <w:szCs w:val="21"/>
              </w:rPr>
              <w:t>分）</w:t>
            </w:r>
          </w:p>
        </w:tc>
        <w:tc>
          <w:tcPr>
            <w:tcW w:w="1250" w:type="dxa"/>
            <w:vAlign w:val="center"/>
          </w:tcPr>
          <w:p w14:paraId="0F5B11CE">
            <w:pPr>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供应商业绩</w:t>
            </w:r>
          </w:p>
          <w:p w14:paraId="4C8FDA32">
            <w:pPr>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（1</w:t>
            </w:r>
            <w:r>
              <w:rPr>
                <w:rFonts w:hint="eastAsia" w:ascii="仿宋_GB2312" w:hAnsi="仿宋_GB2312" w:eastAsia="仿宋_GB2312" w:cs="仿宋_GB2312"/>
                <w:szCs w:val="21"/>
                <w:lang w:val="en-US" w:eastAsia="zh-CN"/>
              </w:rPr>
              <w:t>0</w:t>
            </w:r>
            <w:r>
              <w:rPr>
                <w:rFonts w:hint="eastAsia" w:ascii="仿宋_GB2312" w:hAnsi="仿宋_GB2312" w:eastAsia="仿宋_GB2312" w:cs="仿宋_GB2312"/>
                <w:szCs w:val="21"/>
              </w:rPr>
              <w:t>分）</w:t>
            </w:r>
          </w:p>
        </w:tc>
        <w:tc>
          <w:tcPr>
            <w:tcW w:w="7304" w:type="dxa"/>
            <w:vAlign w:val="center"/>
          </w:tcPr>
          <w:p w14:paraId="683873E4">
            <w:pPr>
              <w:spacing w:line="360" w:lineRule="exact"/>
              <w:jc w:val="left"/>
              <w:rPr>
                <w:rFonts w:hint="eastAsia" w:ascii="仿宋_GB2312" w:hAnsi="仿宋_GB2312" w:eastAsia="仿宋_GB2312" w:cs="仿宋_GB2312"/>
                <w:szCs w:val="21"/>
              </w:rPr>
            </w:pPr>
            <w:r>
              <w:rPr>
                <w:rFonts w:hint="eastAsia" w:ascii="仿宋_GB2312" w:hAnsi="仿宋_GB2312" w:eastAsia="仿宋_GB2312" w:cs="仿宋_GB2312"/>
                <w:szCs w:val="21"/>
              </w:rPr>
              <w:t>供应商2023年1月1日以来承担过与本项目相同或相近的已完成的类似业绩（南阳实践/一河一策一图，一园一策一图），每提供一份服务合同等材料得</w:t>
            </w:r>
            <w:r>
              <w:rPr>
                <w:rFonts w:hint="eastAsia" w:ascii="仿宋_GB2312" w:hAnsi="仿宋_GB2312" w:eastAsia="仿宋_GB2312" w:cs="仿宋_GB2312"/>
                <w:szCs w:val="21"/>
                <w:lang w:val="en-US" w:eastAsia="zh-CN"/>
              </w:rPr>
              <w:t>5</w:t>
            </w:r>
            <w:r>
              <w:rPr>
                <w:rFonts w:hint="eastAsia" w:ascii="仿宋_GB2312" w:hAnsi="仿宋_GB2312" w:eastAsia="仿宋_GB2312" w:cs="仿宋_GB2312"/>
                <w:szCs w:val="21"/>
              </w:rPr>
              <w:t>分，最高得</w:t>
            </w:r>
            <w:r>
              <w:rPr>
                <w:rFonts w:hint="eastAsia" w:ascii="仿宋_GB2312" w:hAnsi="仿宋_GB2312" w:eastAsia="仿宋_GB2312" w:cs="仿宋_GB2312"/>
                <w:szCs w:val="21"/>
                <w:lang w:val="en-US" w:eastAsia="zh-CN"/>
              </w:rPr>
              <w:t>10</w:t>
            </w:r>
            <w:r>
              <w:rPr>
                <w:rFonts w:hint="eastAsia" w:ascii="仿宋_GB2312" w:hAnsi="仿宋_GB2312" w:eastAsia="仿宋_GB2312" w:cs="仿宋_GB2312"/>
                <w:szCs w:val="21"/>
              </w:rPr>
              <w:t>分；</w:t>
            </w:r>
          </w:p>
        </w:tc>
      </w:tr>
      <w:tr w14:paraId="302C1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1040" w:type="dxa"/>
            <w:vMerge w:val="continue"/>
            <w:vAlign w:val="center"/>
          </w:tcPr>
          <w:p w14:paraId="34A6E3F0">
            <w:pPr>
              <w:spacing w:line="360" w:lineRule="exact"/>
              <w:jc w:val="center"/>
              <w:rPr>
                <w:rFonts w:hint="eastAsia" w:ascii="仿宋_GB2312" w:hAnsi="仿宋_GB2312" w:eastAsia="仿宋_GB2312" w:cs="仿宋_GB2312"/>
                <w:szCs w:val="21"/>
              </w:rPr>
            </w:pPr>
          </w:p>
        </w:tc>
        <w:tc>
          <w:tcPr>
            <w:tcW w:w="1250" w:type="dxa"/>
            <w:vAlign w:val="center"/>
          </w:tcPr>
          <w:p w14:paraId="29CF2546">
            <w:pPr>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综合实力</w:t>
            </w:r>
          </w:p>
          <w:p w14:paraId="7ECAFE24">
            <w:pPr>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(10分)</w:t>
            </w:r>
          </w:p>
        </w:tc>
        <w:tc>
          <w:tcPr>
            <w:tcW w:w="7304" w:type="dxa"/>
            <w:vAlign w:val="center"/>
          </w:tcPr>
          <w:p w14:paraId="64773194">
            <w:pPr>
              <w:spacing w:line="360" w:lineRule="exact"/>
              <w:jc w:val="left"/>
              <w:rPr>
                <w:rFonts w:hint="eastAsia" w:ascii="仿宋_GB2312" w:hAnsi="仿宋_GB2312" w:eastAsia="仿宋_GB2312" w:cs="仿宋_GB2312"/>
                <w:szCs w:val="21"/>
              </w:rPr>
            </w:pPr>
            <w:r>
              <w:rPr>
                <w:rFonts w:hint="eastAsia" w:ascii="仿宋_GB2312" w:hAnsi="仿宋_GB2312" w:eastAsia="仿宋_GB2312" w:cs="仿宋_GB2312"/>
                <w:szCs w:val="21"/>
              </w:rPr>
              <w:t xml:space="preserve">具有市级及以上突发环境事件应急处置经验的，每提供1项得2分，本评审项最高得10分。 </w:t>
            </w:r>
          </w:p>
          <w:p w14:paraId="73CFF78D">
            <w:pPr>
              <w:spacing w:line="360" w:lineRule="exact"/>
              <w:jc w:val="left"/>
              <w:rPr>
                <w:rFonts w:hint="eastAsia" w:ascii="仿宋_GB2312" w:hAnsi="仿宋_GB2312" w:eastAsia="仿宋_GB2312" w:cs="仿宋_GB2312"/>
                <w:szCs w:val="21"/>
              </w:rPr>
            </w:pPr>
            <w:r>
              <w:rPr>
                <w:rFonts w:hint="eastAsia" w:ascii="仿宋_GB2312" w:hAnsi="仿宋_GB2312" w:eastAsia="仿宋_GB2312" w:cs="仿宋_GB2312"/>
                <w:szCs w:val="21"/>
              </w:rPr>
              <w:t>注：提供市级或以上政府部门出具的响应供应商承担过突发环境事件应急处置的证明材料复印件并加盖公章，否则不得分；同一事件不重复计分。</w:t>
            </w:r>
          </w:p>
        </w:tc>
      </w:tr>
      <w:tr w14:paraId="40174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1040" w:type="dxa"/>
            <w:vMerge w:val="continue"/>
            <w:vAlign w:val="center"/>
          </w:tcPr>
          <w:p w14:paraId="0B945775">
            <w:pPr>
              <w:spacing w:line="360" w:lineRule="exact"/>
              <w:jc w:val="center"/>
              <w:rPr>
                <w:rFonts w:hint="eastAsia" w:ascii="仿宋_GB2312" w:hAnsi="仿宋_GB2312" w:eastAsia="仿宋_GB2312" w:cs="仿宋_GB2312"/>
                <w:szCs w:val="21"/>
              </w:rPr>
            </w:pPr>
          </w:p>
        </w:tc>
        <w:tc>
          <w:tcPr>
            <w:tcW w:w="1250" w:type="dxa"/>
            <w:vAlign w:val="center"/>
          </w:tcPr>
          <w:p w14:paraId="37ED71FD">
            <w:pPr>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highlight w:val="none"/>
              </w:rPr>
              <w:t>项目人员配备（</w:t>
            </w:r>
            <w:r>
              <w:rPr>
                <w:rFonts w:hint="eastAsia" w:ascii="仿宋_GB2312" w:hAnsi="仿宋_GB2312" w:eastAsia="仿宋_GB2312" w:cs="仿宋_GB2312"/>
                <w:szCs w:val="21"/>
                <w:highlight w:val="none"/>
                <w:lang w:val="en-US" w:eastAsia="zh-CN"/>
              </w:rPr>
              <w:t>15</w:t>
            </w:r>
            <w:r>
              <w:rPr>
                <w:rFonts w:hint="eastAsia" w:ascii="仿宋_GB2312" w:hAnsi="仿宋_GB2312" w:eastAsia="仿宋_GB2312" w:cs="仿宋_GB2312"/>
                <w:szCs w:val="21"/>
                <w:highlight w:val="none"/>
              </w:rPr>
              <w:t>分）</w:t>
            </w:r>
          </w:p>
        </w:tc>
        <w:tc>
          <w:tcPr>
            <w:tcW w:w="7304" w:type="dxa"/>
            <w:vAlign w:val="center"/>
          </w:tcPr>
          <w:p w14:paraId="36644AD9">
            <w:pPr>
              <w:spacing w:line="360" w:lineRule="exact"/>
              <w:jc w:val="left"/>
              <w:rPr>
                <w:rFonts w:ascii="仿宋_GB2312" w:hAnsi="仿宋_GB2312" w:eastAsia="仿宋_GB2312" w:cs="仿宋_GB2312"/>
                <w:szCs w:val="21"/>
              </w:rPr>
            </w:pPr>
            <w:r>
              <w:rPr>
                <w:rFonts w:hint="eastAsia" w:ascii="仿宋_GB2312" w:hAnsi="仿宋_GB2312" w:eastAsia="仿宋_GB2312" w:cs="仿宋_GB2312"/>
                <w:szCs w:val="21"/>
              </w:rPr>
              <w:t>1、项目负责人（</w:t>
            </w:r>
            <w:r>
              <w:rPr>
                <w:rFonts w:hint="eastAsia" w:ascii="仿宋_GB2312" w:hAnsi="仿宋_GB2312" w:eastAsia="仿宋_GB2312" w:cs="仿宋_GB2312"/>
                <w:szCs w:val="21"/>
                <w:lang w:val="en-US" w:eastAsia="zh-CN"/>
              </w:rPr>
              <w:t>5</w:t>
            </w:r>
            <w:r>
              <w:rPr>
                <w:rFonts w:hint="eastAsia" w:ascii="仿宋_GB2312" w:hAnsi="仿宋_GB2312" w:eastAsia="仿宋_GB2312" w:cs="仿宋_GB2312"/>
                <w:szCs w:val="21"/>
              </w:rPr>
              <w:t>分）</w:t>
            </w:r>
          </w:p>
          <w:p w14:paraId="7B8AC35B">
            <w:pPr>
              <w:spacing w:line="360" w:lineRule="exact"/>
              <w:jc w:val="left"/>
              <w:rPr>
                <w:rFonts w:ascii="仿宋_GB2312" w:hAnsi="仿宋_GB2312" w:eastAsia="仿宋_GB2312" w:cs="仿宋_GB2312"/>
                <w:szCs w:val="21"/>
              </w:rPr>
            </w:pPr>
            <w:r>
              <w:rPr>
                <w:rFonts w:hint="eastAsia" w:ascii="仿宋_GB2312" w:hAnsi="仿宋_GB2312" w:eastAsia="仿宋_GB2312" w:cs="仿宋_GB2312"/>
                <w:szCs w:val="21"/>
              </w:rPr>
              <w:t>（1）拟派项目负责人具有环境类正高级工程师级别职称，得</w:t>
            </w:r>
            <w:r>
              <w:rPr>
                <w:rFonts w:hint="eastAsia" w:ascii="仿宋_GB2312" w:hAnsi="仿宋_GB2312" w:eastAsia="仿宋_GB2312" w:cs="仿宋_GB2312"/>
                <w:szCs w:val="21"/>
                <w:lang w:val="en-US" w:eastAsia="zh-CN"/>
              </w:rPr>
              <w:t>2</w:t>
            </w:r>
            <w:r>
              <w:rPr>
                <w:rFonts w:hint="eastAsia" w:ascii="仿宋_GB2312" w:hAnsi="仿宋_GB2312" w:eastAsia="仿宋_GB2312" w:cs="仿宋_GB2312"/>
                <w:szCs w:val="21"/>
              </w:rPr>
              <w:t>分，具有副高级技术职称的得</w:t>
            </w:r>
            <w:r>
              <w:rPr>
                <w:rFonts w:hint="eastAsia" w:ascii="仿宋_GB2312" w:hAnsi="仿宋_GB2312" w:eastAsia="仿宋_GB2312" w:cs="仿宋_GB2312"/>
                <w:szCs w:val="21"/>
                <w:lang w:val="en-US" w:eastAsia="zh-CN"/>
              </w:rPr>
              <w:t>1</w:t>
            </w:r>
            <w:r>
              <w:rPr>
                <w:rFonts w:hint="eastAsia" w:ascii="仿宋_GB2312" w:hAnsi="仿宋_GB2312" w:eastAsia="仿宋_GB2312" w:cs="仿宋_GB2312"/>
                <w:szCs w:val="21"/>
              </w:rPr>
              <w:t>分。本项最高得</w:t>
            </w:r>
            <w:r>
              <w:rPr>
                <w:rFonts w:hint="eastAsia" w:ascii="仿宋_GB2312" w:hAnsi="仿宋_GB2312" w:eastAsia="仿宋_GB2312" w:cs="仿宋_GB2312"/>
                <w:szCs w:val="21"/>
                <w:lang w:val="en-US" w:eastAsia="zh-CN"/>
              </w:rPr>
              <w:t>2</w:t>
            </w:r>
            <w:r>
              <w:rPr>
                <w:rFonts w:hint="eastAsia" w:ascii="仿宋_GB2312" w:hAnsi="仿宋_GB2312" w:eastAsia="仿宋_GB2312" w:cs="仿宋_GB2312"/>
                <w:szCs w:val="21"/>
              </w:rPr>
              <w:t>分。</w:t>
            </w:r>
          </w:p>
          <w:p w14:paraId="4C05D57C">
            <w:pPr>
              <w:spacing w:line="360" w:lineRule="exact"/>
              <w:jc w:val="left"/>
              <w:rPr>
                <w:rFonts w:hint="eastAsia" w:ascii="仿宋_GB2312" w:hAnsi="仿宋_GB2312" w:eastAsia="仿宋_GB2312" w:cs="仿宋_GB2312"/>
                <w:szCs w:val="21"/>
              </w:rPr>
            </w:pPr>
            <w:r>
              <w:rPr>
                <w:rFonts w:hint="eastAsia" w:ascii="仿宋_GB2312" w:hAnsi="仿宋_GB2312" w:eastAsia="仿宋_GB2312" w:cs="仿宋_GB2312"/>
                <w:szCs w:val="21"/>
              </w:rPr>
              <w:t>（2）项目负责人承担过同类项目业绩的，每提供</w:t>
            </w:r>
            <w:r>
              <w:rPr>
                <w:rFonts w:ascii="仿宋_GB2312" w:hAnsi="仿宋_GB2312" w:eastAsia="仿宋_GB2312" w:cs="仿宋_GB2312"/>
                <w:szCs w:val="21"/>
              </w:rPr>
              <w:t>1</w:t>
            </w:r>
            <w:r>
              <w:rPr>
                <w:rFonts w:hint="eastAsia" w:ascii="仿宋_GB2312" w:hAnsi="仿宋_GB2312" w:eastAsia="仿宋_GB2312" w:cs="仿宋_GB2312"/>
                <w:szCs w:val="21"/>
              </w:rPr>
              <w:t>个得</w:t>
            </w:r>
            <w:r>
              <w:rPr>
                <w:rFonts w:ascii="仿宋_GB2312" w:hAnsi="仿宋_GB2312" w:eastAsia="仿宋_GB2312" w:cs="仿宋_GB2312"/>
                <w:szCs w:val="21"/>
              </w:rPr>
              <w:t>1</w:t>
            </w:r>
            <w:r>
              <w:rPr>
                <w:rFonts w:hint="eastAsia" w:ascii="仿宋_GB2312" w:hAnsi="仿宋_GB2312" w:eastAsia="仿宋_GB2312" w:cs="仿宋_GB2312"/>
                <w:szCs w:val="21"/>
              </w:rPr>
              <w:t>分，本项最高得</w:t>
            </w:r>
            <w:r>
              <w:rPr>
                <w:rFonts w:ascii="仿宋_GB2312" w:hAnsi="仿宋_GB2312" w:eastAsia="仿宋_GB2312" w:cs="仿宋_GB2312"/>
                <w:szCs w:val="21"/>
              </w:rPr>
              <w:t>3</w:t>
            </w:r>
            <w:r>
              <w:rPr>
                <w:rFonts w:hint="eastAsia" w:ascii="仿宋_GB2312" w:hAnsi="仿宋_GB2312" w:eastAsia="仿宋_GB2312" w:cs="仿宋_GB2312"/>
                <w:szCs w:val="21"/>
              </w:rPr>
              <w:t>分。</w:t>
            </w:r>
          </w:p>
          <w:p w14:paraId="5A094CD6">
            <w:pPr>
              <w:spacing w:line="360" w:lineRule="exact"/>
              <w:jc w:val="left"/>
              <w:rPr>
                <w:rFonts w:ascii="仿宋_GB2312" w:hAnsi="仿宋_GB2312" w:eastAsia="仿宋_GB2312" w:cs="仿宋_GB2312"/>
                <w:szCs w:val="21"/>
              </w:rPr>
            </w:pPr>
            <w:r>
              <w:rPr>
                <w:rFonts w:hint="eastAsia" w:ascii="仿宋_GB2312" w:hAnsi="仿宋_GB2312" w:eastAsia="仿宋_GB2312" w:cs="仿宋_GB2312"/>
                <w:szCs w:val="21"/>
              </w:rPr>
              <w:t>2、项目组成员（1</w:t>
            </w:r>
            <w:r>
              <w:rPr>
                <w:rFonts w:hint="eastAsia" w:ascii="仿宋_GB2312" w:hAnsi="仿宋_GB2312" w:eastAsia="仿宋_GB2312" w:cs="仿宋_GB2312"/>
                <w:szCs w:val="21"/>
                <w:lang w:val="en-US" w:eastAsia="zh-CN"/>
              </w:rPr>
              <w:t>0</w:t>
            </w:r>
            <w:r>
              <w:rPr>
                <w:rFonts w:hint="eastAsia" w:ascii="仿宋_GB2312" w:hAnsi="仿宋_GB2312" w:eastAsia="仿宋_GB2312" w:cs="仿宋_GB2312"/>
                <w:szCs w:val="21"/>
              </w:rPr>
              <w:t>分）</w:t>
            </w:r>
          </w:p>
          <w:p w14:paraId="3326A431">
            <w:pPr>
              <w:spacing w:line="360" w:lineRule="exact"/>
              <w:jc w:val="left"/>
              <w:rPr>
                <w:rFonts w:ascii="仿宋_GB2312" w:hAnsi="仿宋_GB2312" w:eastAsia="仿宋_GB2312" w:cs="仿宋_GB2312"/>
                <w:szCs w:val="21"/>
              </w:rPr>
            </w:pPr>
            <w:r>
              <w:rPr>
                <w:rFonts w:hint="eastAsia" w:ascii="仿宋_GB2312" w:hAnsi="仿宋_GB2312" w:eastAsia="仿宋_GB2312" w:cs="仿宋_GB2312"/>
                <w:szCs w:val="21"/>
              </w:rPr>
              <w:t>（1）除项目负责人外，拟派项目组成员满足6人或以上的，得</w:t>
            </w:r>
            <w:r>
              <w:rPr>
                <w:rFonts w:hint="eastAsia" w:ascii="仿宋_GB2312" w:hAnsi="仿宋_GB2312" w:eastAsia="仿宋_GB2312" w:cs="仿宋_GB2312"/>
                <w:szCs w:val="21"/>
                <w:lang w:val="en-US" w:eastAsia="zh-CN"/>
              </w:rPr>
              <w:t>3</w:t>
            </w:r>
            <w:r>
              <w:rPr>
                <w:rFonts w:hint="eastAsia" w:ascii="仿宋_GB2312" w:hAnsi="仿宋_GB2312" w:eastAsia="仿宋_GB2312" w:cs="仿宋_GB2312"/>
                <w:szCs w:val="21"/>
              </w:rPr>
              <w:t>分；本项最高得</w:t>
            </w:r>
            <w:r>
              <w:rPr>
                <w:rFonts w:hint="eastAsia" w:ascii="仿宋_GB2312" w:hAnsi="仿宋_GB2312" w:eastAsia="仿宋_GB2312" w:cs="仿宋_GB2312"/>
                <w:szCs w:val="21"/>
                <w:lang w:val="en-US" w:eastAsia="zh-CN"/>
              </w:rPr>
              <w:t>3</w:t>
            </w:r>
            <w:r>
              <w:rPr>
                <w:rFonts w:hint="eastAsia" w:ascii="仿宋_GB2312" w:hAnsi="仿宋_GB2312" w:eastAsia="仿宋_GB2312" w:cs="仿宋_GB2312"/>
                <w:szCs w:val="21"/>
              </w:rPr>
              <w:t>分。</w:t>
            </w:r>
          </w:p>
          <w:p w14:paraId="02C8B5E3">
            <w:pPr>
              <w:spacing w:line="360" w:lineRule="exact"/>
              <w:jc w:val="left"/>
              <w:rPr>
                <w:rFonts w:hint="eastAsia" w:ascii="仿宋_GB2312" w:hAnsi="仿宋_GB2312" w:eastAsia="仿宋_GB2312" w:cs="仿宋_GB2312"/>
                <w:szCs w:val="21"/>
              </w:rPr>
            </w:pPr>
            <w:r>
              <w:rPr>
                <w:rFonts w:hint="eastAsia" w:ascii="仿宋_GB2312" w:hAnsi="仿宋_GB2312" w:eastAsia="仿宋_GB2312" w:cs="仿宋_GB2312"/>
                <w:szCs w:val="21"/>
              </w:rPr>
              <w:t>（2）除项目负责人外，拟派项目组成员中每提供一个环境类正高级职称证书的得2分，环境类副高级职称证书的得1分。该项最高得</w:t>
            </w:r>
            <w:r>
              <w:rPr>
                <w:rFonts w:hint="eastAsia" w:ascii="仿宋_GB2312" w:hAnsi="仿宋_GB2312" w:eastAsia="仿宋_GB2312" w:cs="仿宋_GB2312"/>
                <w:szCs w:val="21"/>
                <w:lang w:val="en-US" w:eastAsia="zh-CN"/>
              </w:rPr>
              <w:t>7</w:t>
            </w:r>
            <w:r>
              <w:rPr>
                <w:rFonts w:hint="eastAsia" w:ascii="仿宋_GB2312" w:hAnsi="仿宋_GB2312" w:eastAsia="仿宋_GB2312" w:cs="仿宋_GB2312"/>
                <w:szCs w:val="21"/>
              </w:rPr>
              <w:t>分。</w:t>
            </w:r>
          </w:p>
          <w:p w14:paraId="2107CD06">
            <w:pPr>
              <w:spacing w:line="360" w:lineRule="exact"/>
              <w:jc w:val="left"/>
              <w:rPr>
                <w:rFonts w:hint="eastAsia" w:ascii="仿宋_GB2312" w:hAnsi="仿宋_GB2312" w:eastAsia="仿宋_GB2312" w:cs="仿宋_GB2312"/>
                <w:szCs w:val="21"/>
              </w:rPr>
            </w:pPr>
            <w:r>
              <w:rPr>
                <w:rFonts w:hint="eastAsia" w:ascii="仿宋_GB2312" w:hAnsi="仿宋_GB2312" w:eastAsia="仿宋_GB2312" w:cs="仿宋_GB2312"/>
                <w:szCs w:val="21"/>
              </w:rPr>
              <w:t>（注：需提供人员职称证书、劳动合同或聘书及在该单位近半年内任意一个月内的社保缴纳证明的复印件）。</w:t>
            </w:r>
          </w:p>
        </w:tc>
      </w:tr>
      <w:tr w14:paraId="75207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040" w:type="dxa"/>
            <w:vMerge w:val="restart"/>
            <w:vAlign w:val="center"/>
          </w:tcPr>
          <w:p w14:paraId="37B2851D">
            <w:pPr>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技术部分评分</w:t>
            </w:r>
          </w:p>
          <w:p w14:paraId="3D4BA086">
            <w:pPr>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（40分）</w:t>
            </w:r>
          </w:p>
        </w:tc>
        <w:tc>
          <w:tcPr>
            <w:tcW w:w="1250" w:type="dxa"/>
            <w:vAlign w:val="center"/>
          </w:tcPr>
          <w:p w14:paraId="0C6D98B3">
            <w:pPr>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技术方案（20分）</w:t>
            </w:r>
          </w:p>
        </w:tc>
        <w:tc>
          <w:tcPr>
            <w:tcW w:w="7304" w:type="dxa"/>
            <w:vAlign w:val="center"/>
          </w:tcPr>
          <w:p w14:paraId="5BFC3202">
            <w:pPr>
              <w:pStyle w:val="6"/>
              <w:spacing w:before="1" w:line="251" w:lineRule="auto"/>
              <w:ind w:left="109" w:right="91" w:hanging="2"/>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1、针对本项目，任务需求分析充分准确，提供的技术方案很全面详细合理，服务流程科学可行，保密及安全生产措施具体详细，完全满足用户需求，得 20 分 ;</w:t>
            </w:r>
          </w:p>
          <w:p w14:paraId="6C94AB9E">
            <w:pPr>
              <w:pStyle w:val="6"/>
              <w:spacing w:before="1" w:line="251" w:lineRule="auto"/>
              <w:ind w:left="109" w:right="91" w:hanging="2"/>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2、针对本项目，任务需求分析较充分准确，提供的技术方案全面详细合理，服务流程较科学可行，保密及安全生产措施较详细，可满足用户需求，得 15分;</w:t>
            </w:r>
          </w:p>
          <w:p w14:paraId="06B4B160">
            <w:pPr>
              <w:pStyle w:val="6"/>
              <w:spacing w:before="1" w:line="251" w:lineRule="auto"/>
              <w:ind w:left="109" w:right="91" w:hanging="2"/>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3、针对本项目，任务需求分析较准确，提供的技术方案较详细合理，服务流程较科学可行，保密及安全生产措施较详细，可满足用户需求，得10分;</w:t>
            </w:r>
          </w:p>
          <w:p w14:paraId="244AA6C8">
            <w:pPr>
              <w:pStyle w:val="6"/>
              <w:spacing w:before="1" w:line="251" w:lineRule="auto"/>
              <w:ind w:left="109" w:right="91" w:hanging="2"/>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4、针对本项目，任务需求分析一般，提供的技术方案基本合理，服务流程基本可行，保密及安全生产措施基本可行，基本满足用户需求，得 5分;</w:t>
            </w:r>
          </w:p>
          <w:p w14:paraId="7FA2A288">
            <w:pPr>
              <w:pStyle w:val="6"/>
              <w:spacing w:before="1" w:line="251" w:lineRule="auto"/>
              <w:ind w:left="109" w:right="91" w:hanging="2"/>
              <w:rPr>
                <w:rFonts w:hint="eastAsia" w:asciiTheme="minorEastAsia" w:hAnsiTheme="minorEastAsia" w:eastAsiaTheme="minorEastAsia" w:cstheme="minorEastAsia"/>
                <w:sz w:val="24"/>
                <w:szCs w:val="24"/>
                <w:lang w:eastAsia="zh-CN"/>
              </w:rPr>
            </w:pPr>
            <w:r>
              <w:rPr>
                <w:rFonts w:hint="eastAsia" w:ascii="仿宋_GB2312" w:hAnsi="仿宋_GB2312" w:eastAsia="仿宋_GB2312" w:cs="仿宋_GB2312"/>
                <w:sz w:val="21"/>
                <w:szCs w:val="21"/>
                <w:lang w:eastAsia="zh-CN"/>
              </w:rPr>
              <w:t>5、针对本项目，要求分析不准确，提供的技术方案不详细合理，服务流程不可行，保密及安全生产措施不详细，不能满足用户需求，或未提供技术方案的，得 0 分。</w:t>
            </w:r>
          </w:p>
        </w:tc>
      </w:tr>
      <w:tr w14:paraId="548FF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040" w:type="dxa"/>
            <w:vMerge w:val="continue"/>
            <w:vAlign w:val="center"/>
          </w:tcPr>
          <w:p w14:paraId="06698AB4">
            <w:pPr>
              <w:spacing w:line="360" w:lineRule="exact"/>
              <w:jc w:val="center"/>
              <w:rPr>
                <w:rFonts w:hint="eastAsia" w:ascii="仿宋_GB2312" w:hAnsi="仿宋_GB2312" w:eastAsia="仿宋_GB2312" w:cs="仿宋_GB2312"/>
                <w:szCs w:val="21"/>
              </w:rPr>
            </w:pPr>
          </w:p>
        </w:tc>
        <w:tc>
          <w:tcPr>
            <w:tcW w:w="1250" w:type="dxa"/>
            <w:vAlign w:val="center"/>
          </w:tcPr>
          <w:p w14:paraId="72DB4BB2">
            <w:pPr>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质量保证措施（10分）</w:t>
            </w:r>
          </w:p>
        </w:tc>
        <w:tc>
          <w:tcPr>
            <w:tcW w:w="7304" w:type="dxa"/>
            <w:vAlign w:val="center"/>
          </w:tcPr>
          <w:p w14:paraId="513760FB">
            <w:pPr>
              <w:pStyle w:val="6"/>
              <w:spacing w:before="1" w:line="251" w:lineRule="auto"/>
              <w:ind w:left="109" w:right="91" w:hanging="2"/>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根据供应商提供的①相关工作研究基础、②质量控制措施等内容进行综合评分。</w:t>
            </w:r>
          </w:p>
          <w:p w14:paraId="40FA6D14">
            <w:pPr>
              <w:pStyle w:val="6"/>
              <w:spacing w:before="1" w:line="251" w:lineRule="auto"/>
              <w:ind w:left="109" w:right="91" w:hanging="2"/>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每提供一项最高得5分，共10分。</w:t>
            </w:r>
          </w:p>
          <w:p w14:paraId="0F347E93">
            <w:pPr>
              <w:pStyle w:val="6"/>
              <w:spacing w:before="1" w:line="251" w:lineRule="auto"/>
              <w:ind w:left="109" w:right="91" w:hanging="2"/>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每有1项内容虽阐述但未贴合项目实际情况，或未包括具体内容及措施，扣3分。</w:t>
            </w:r>
          </w:p>
          <w:p w14:paraId="585A5A90">
            <w:pPr>
              <w:pStyle w:val="6"/>
              <w:spacing w:before="1" w:line="251" w:lineRule="auto"/>
              <w:ind w:left="109" w:right="91" w:hanging="2"/>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每有1项内容未阐述、或不符合项目实际情况、或存在错误，扣5分。</w:t>
            </w:r>
          </w:p>
          <w:p w14:paraId="758A57E8">
            <w:pPr>
              <w:pStyle w:val="6"/>
              <w:spacing w:before="1" w:line="251" w:lineRule="auto"/>
              <w:ind w:left="109" w:right="91" w:hanging="2"/>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最低得0分。</w:t>
            </w:r>
          </w:p>
        </w:tc>
      </w:tr>
      <w:tr w14:paraId="49CCF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040" w:type="dxa"/>
            <w:vMerge w:val="continue"/>
            <w:vAlign w:val="center"/>
          </w:tcPr>
          <w:p w14:paraId="6C3ABE58">
            <w:pPr>
              <w:spacing w:line="360" w:lineRule="exact"/>
              <w:jc w:val="center"/>
              <w:rPr>
                <w:rFonts w:hint="eastAsia" w:ascii="仿宋_GB2312" w:hAnsi="仿宋_GB2312" w:eastAsia="仿宋_GB2312" w:cs="仿宋_GB2312"/>
                <w:szCs w:val="21"/>
              </w:rPr>
            </w:pPr>
          </w:p>
        </w:tc>
        <w:tc>
          <w:tcPr>
            <w:tcW w:w="1250" w:type="dxa"/>
            <w:vAlign w:val="center"/>
          </w:tcPr>
          <w:p w14:paraId="059F7777">
            <w:pPr>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项目实施方案（10分）</w:t>
            </w:r>
          </w:p>
        </w:tc>
        <w:tc>
          <w:tcPr>
            <w:tcW w:w="7304" w:type="dxa"/>
            <w:vAlign w:val="center"/>
          </w:tcPr>
          <w:p w14:paraId="33E9A4CF">
            <w:pPr>
              <w:pStyle w:val="6"/>
              <w:spacing w:before="1" w:line="251" w:lineRule="auto"/>
              <w:ind w:left="109" w:right="91" w:hanging="2"/>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 xml:space="preserve">1、提供的项目实施方案清晰、详细，组织情况、人员配置情况、规划进展、合理、可行，完全满足或优于磋商文件对工期的要求的，得10分； </w:t>
            </w:r>
          </w:p>
          <w:p w14:paraId="25647729">
            <w:pPr>
              <w:pStyle w:val="6"/>
              <w:spacing w:before="1" w:line="251" w:lineRule="auto"/>
              <w:ind w:left="109" w:right="91" w:hanging="2"/>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 xml:space="preserve">2、提供的项目实施方案较详细，组织情况、人员配置情况、规划进展、实施计划较合理、可行，基本满足磋商文件对工期的要求的，得6分； </w:t>
            </w:r>
          </w:p>
          <w:p w14:paraId="1A3C3132">
            <w:pPr>
              <w:pStyle w:val="6"/>
              <w:spacing w:before="1" w:line="251" w:lineRule="auto"/>
              <w:ind w:left="109" w:right="91" w:hanging="2"/>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3、提供的项目实施方案较简单，组织情况、人员配置情况、规划进展、实施计划基本可行，基本满足磋商文件对工期的要求的，得2分；</w:t>
            </w:r>
          </w:p>
          <w:p w14:paraId="0315B9CD">
            <w:pPr>
              <w:pStyle w:val="6"/>
              <w:spacing w:before="1" w:line="251" w:lineRule="auto"/>
              <w:ind w:left="109" w:right="91" w:hanging="2"/>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4、提供的项目实施方案内容简陋，组织情况、人员配置情况、规划进展、实施计划不合理、不可行，无法满足磋商文件对工期的要求的或不提供方案的，得0分。</w:t>
            </w:r>
          </w:p>
        </w:tc>
      </w:tr>
      <w:tr w14:paraId="5CCFF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040" w:type="dxa"/>
            <w:vAlign w:val="center"/>
          </w:tcPr>
          <w:p w14:paraId="178AA84E">
            <w:pPr>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报价得分（</w:t>
            </w:r>
            <w:r>
              <w:rPr>
                <w:rFonts w:hint="eastAsia" w:ascii="仿宋_GB2312" w:hAnsi="仿宋_GB2312" w:eastAsia="仿宋_GB2312" w:cs="仿宋_GB2312"/>
                <w:szCs w:val="21"/>
                <w:lang w:val="en-US" w:eastAsia="zh-CN"/>
              </w:rPr>
              <w:t>25</w:t>
            </w:r>
            <w:r>
              <w:rPr>
                <w:rFonts w:hint="eastAsia" w:ascii="仿宋_GB2312" w:hAnsi="仿宋_GB2312" w:eastAsia="仿宋_GB2312" w:cs="仿宋_GB2312"/>
                <w:szCs w:val="21"/>
              </w:rPr>
              <w:t>分）</w:t>
            </w:r>
          </w:p>
        </w:tc>
        <w:tc>
          <w:tcPr>
            <w:tcW w:w="1250" w:type="dxa"/>
            <w:vAlign w:val="center"/>
          </w:tcPr>
          <w:p w14:paraId="5366B0EB">
            <w:pPr>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highlight w:val="none"/>
              </w:rPr>
              <w:t>价格评分（</w:t>
            </w:r>
            <w:r>
              <w:rPr>
                <w:rFonts w:hint="eastAsia" w:ascii="仿宋_GB2312" w:hAnsi="仿宋_GB2312" w:eastAsia="仿宋_GB2312" w:cs="仿宋_GB2312"/>
                <w:szCs w:val="21"/>
                <w:highlight w:val="none"/>
                <w:lang w:val="en-US" w:eastAsia="zh-CN"/>
              </w:rPr>
              <w:t>25</w:t>
            </w:r>
            <w:r>
              <w:rPr>
                <w:rFonts w:hint="eastAsia" w:ascii="仿宋_GB2312" w:hAnsi="仿宋_GB2312" w:eastAsia="仿宋_GB2312" w:cs="仿宋_GB2312"/>
                <w:szCs w:val="21"/>
                <w:highlight w:val="none"/>
              </w:rPr>
              <w:t>分）</w:t>
            </w:r>
          </w:p>
        </w:tc>
        <w:tc>
          <w:tcPr>
            <w:tcW w:w="7304" w:type="dxa"/>
            <w:vAlign w:val="center"/>
          </w:tcPr>
          <w:p w14:paraId="29DF5D03">
            <w:pPr>
              <w:spacing w:line="360" w:lineRule="auto"/>
              <w:jc w:val="left"/>
              <w:rPr>
                <w:rFonts w:hint="eastAsia" w:ascii="仿宋_GB2312" w:hAnsi="仿宋_GB2312" w:eastAsia="仿宋_GB2312" w:cs="仿宋_GB2312"/>
                <w:szCs w:val="21"/>
              </w:rPr>
            </w:pPr>
            <w:r>
              <w:rPr>
                <w:rFonts w:hint="eastAsia" w:ascii="仿宋_GB2312" w:hAnsi="仿宋_GB2312" w:eastAsia="仿宋_GB2312" w:cs="仿宋_GB2312"/>
                <w:szCs w:val="21"/>
              </w:rPr>
              <w:t>满足磋商文件要求且投标价格最低的投标报价为评标基准价，其价格分为满分</w:t>
            </w:r>
            <w:r>
              <w:rPr>
                <w:rFonts w:hint="eastAsia" w:ascii="仿宋_GB2312" w:hAnsi="仿宋_GB2312" w:eastAsia="仿宋_GB2312" w:cs="仿宋_GB2312"/>
                <w:szCs w:val="21"/>
                <w:lang w:val="en-US" w:eastAsia="zh-CN"/>
              </w:rPr>
              <w:t>25</w:t>
            </w:r>
            <w:r>
              <w:rPr>
                <w:rFonts w:hint="eastAsia" w:ascii="仿宋_GB2312" w:hAnsi="仿宋_GB2312" w:eastAsia="仿宋_GB2312" w:cs="仿宋_GB2312"/>
                <w:szCs w:val="21"/>
              </w:rPr>
              <w:t>分。其他供应商的价格分统一按照下列公式计算：</w:t>
            </w:r>
          </w:p>
          <w:p w14:paraId="7A6F54EE">
            <w:pPr>
              <w:spacing w:line="360" w:lineRule="auto"/>
              <w:jc w:val="left"/>
              <w:rPr>
                <w:rFonts w:hint="eastAsia" w:ascii="仿宋_GB2312" w:hAnsi="仿宋_GB2312" w:eastAsia="仿宋_GB2312" w:cs="仿宋_GB2312"/>
                <w:szCs w:val="21"/>
              </w:rPr>
            </w:pPr>
            <w:r>
              <w:rPr>
                <w:rFonts w:hint="eastAsia" w:ascii="仿宋_GB2312" w:hAnsi="仿宋_GB2312" w:eastAsia="仿宋_GB2312" w:cs="仿宋_GB2312"/>
                <w:szCs w:val="21"/>
              </w:rPr>
              <w:t>投标报价得分=（评标基准价／投标报价）×</w:t>
            </w:r>
            <w:r>
              <w:rPr>
                <w:rFonts w:hint="eastAsia" w:ascii="仿宋_GB2312" w:hAnsi="仿宋_GB2312" w:eastAsia="仿宋_GB2312" w:cs="仿宋_GB2312"/>
                <w:szCs w:val="21"/>
                <w:lang w:val="en-US" w:eastAsia="zh-CN"/>
              </w:rPr>
              <w:t>25</w:t>
            </w:r>
            <w:r>
              <w:rPr>
                <w:rFonts w:hint="eastAsia" w:ascii="仿宋_GB2312" w:hAnsi="仿宋_GB2312" w:eastAsia="仿宋_GB2312" w:cs="仿宋_GB2312"/>
                <w:szCs w:val="21"/>
              </w:rPr>
              <w:t>%×100</w:t>
            </w:r>
          </w:p>
          <w:p w14:paraId="2D209870">
            <w:pPr>
              <w:spacing w:line="360" w:lineRule="exact"/>
              <w:jc w:val="left"/>
              <w:rPr>
                <w:rFonts w:hint="eastAsia" w:ascii="仿宋_GB2312" w:hAnsi="仿宋_GB2312" w:eastAsia="仿宋_GB2312" w:cs="仿宋_GB2312"/>
                <w:szCs w:val="21"/>
              </w:rPr>
            </w:pPr>
            <w:r>
              <w:rPr>
                <w:rFonts w:hint="eastAsia" w:ascii="仿宋_GB2312" w:hAnsi="仿宋_GB2312" w:eastAsia="仿宋_GB2312" w:cs="仿宋_GB2312"/>
                <w:szCs w:val="21"/>
              </w:rPr>
              <w:t>计算过程及结果数字保留两位小数。</w:t>
            </w:r>
          </w:p>
        </w:tc>
      </w:tr>
      <w:tr w14:paraId="4E0CD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040" w:type="dxa"/>
            <w:vAlign w:val="center"/>
          </w:tcPr>
          <w:p w14:paraId="16FEBB67">
            <w:pPr>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合计</w:t>
            </w:r>
          </w:p>
        </w:tc>
        <w:tc>
          <w:tcPr>
            <w:tcW w:w="1250" w:type="dxa"/>
            <w:vAlign w:val="center"/>
          </w:tcPr>
          <w:p w14:paraId="25D9538F">
            <w:pPr>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100分</w:t>
            </w:r>
          </w:p>
        </w:tc>
        <w:tc>
          <w:tcPr>
            <w:tcW w:w="7304" w:type="dxa"/>
            <w:vAlign w:val="center"/>
          </w:tcPr>
          <w:p w14:paraId="17D4ED98">
            <w:pPr>
              <w:spacing w:line="360" w:lineRule="exact"/>
              <w:jc w:val="left"/>
              <w:rPr>
                <w:rFonts w:hint="eastAsia" w:ascii="仿宋_GB2312" w:hAnsi="仿宋_GB2312" w:eastAsia="仿宋_GB2312" w:cs="仿宋_GB2312"/>
                <w:szCs w:val="21"/>
              </w:rPr>
            </w:pPr>
          </w:p>
        </w:tc>
      </w:tr>
      <w:tr w14:paraId="2F69C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9594" w:type="dxa"/>
            <w:gridSpan w:val="3"/>
            <w:vAlign w:val="center"/>
          </w:tcPr>
          <w:p w14:paraId="52EEA55E">
            <w:pPr>
              <w:spacing w:line="36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综合评分最高者原则上推荐为成交供应商，综合评分相同的以报价低者推荐为成交供应商。</w:t>
            </w:r>
          </w:p>
        </w:tc>
      </w:tr>
    </w:tbl>
    <w:p w14:paraId="044F2610">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val="fullPage" w:percent="3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5A97148"/>
    <w:rsid w:val="000C6E8F"/>
    <w:rsid w:val="00252862"/>
    <w:rsid w:val="005440D1"/>
    <w:rsid w:val="0081598D"/>
    <w:rsid w:val="008E3FA0"/>
    <w:rsid w:val="00A27D44"/>
    <w:rsid w:val="00A755C5"/>
    <w:rsid w:val="00A9282B"/>
    <w:rsid w:val="00BF651A"/>
    <w:rsid w:val="00D947FC"/>
    <w:rsid w:val="076777A3"/>
    <w:rsid w:val="0F8427F8"/>
    <w:rsid w:val="237D7345"/>
    <w:rsid w:val="2C7660E0"/>
    <w:rsid w:val="35A97148"/>
    <w:rsid w:val="461E38D1"/>
    <w:rsid w:val="4A1B7628"/>
    <w:rsid w:val="4CDB43EB"/>
    <w:rsid w:val="50DF12EE"/>
    <w:rsid w:val="56B5345E"/>
    <w:rsid w:val="6A41142C"/>
    <w:rsid w:val="6A7C26A7"/>
    <w:rsid w:val="6A9C24E4"/>
    <w:rsid w:val="7C5165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2"/>
    <w:basedOn w:val="1"/>
    <w:next w:val="1"/>
    <w:unhideWhenUsed/>
    <w:qFormat/>
    <w:uiPriority w:val="0"/>
    <w:pPr>
      <w:spacing w:before="100" w:beforeAutospacing="1" w:after="100" w:afterAutospacing="1"/>
      <w:jc w:val="left"/>
      <w:outlineLvl w:val="1"/>
    </w:pPr>
    <w:rPr>
      <w:rFonts w:hint="eastAsia" w:ascii="宋体" w:hAnsi="宋体"/>
      <w:b/>
      <w:kern w:val="0"/>
      <w:sz w:val="36"/>
      <w:szCs w:val="36"/>
    </w:rPr>
  </w:style>
  <w:style w:type="character" w:default="1" w:styleId="4">
    <w:name w:val="Default Paragraph Font"/>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customStyle="1" w:styleId="5">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6">
    <w:name w:val="Table Text"/>
    <w:basedOn w:val="1"/>
    <w:semiHidden/>
    <w:qFormat/>
    <w:uiPriority w:val="0"/>
    <w:rPr>
      <w:rFonts w:ascii="宋体" w:hAnsi="宋体" w:cs="宋体"/>
      <w:sz w:val="30"/>
      <w:szCs w:val="30"/>
      <w:lang w:eastAsia="en-US"/>
    </w:rPr>
  </w:style>
  <w:style w:type="table" w:customStyle="1" w:styleId="7">
    <w:name w:val="Table Normal"/>
    <w:unhideWhenUsed/>
    <w:qFormat/>
    <w:uiPriority w:val="0"/>
    <w:tblPr>
      <w:tblCellMar>
        <w:top w:w="0" w:type="dxa"/>
        <w:left w:w="0" w:type="dxa"/>
        <w:bottom w:w="0" w:type="dxa"/>
        <w:right w:w="0" w:type="dxa"/>
      </w:tblCellMar>
    </w:tblPr>
  </w:style>
  <w:style w:type="paragraph" w:customStyle="1" w:styleId="8">
    <w:name w:val="Revision"/>
    <w:hidden/>
    <w:unhideWhenUsed/>
    <w:uiPriority w:val="99"/>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1407</Words>
  <Characters>1436</Characters>
  <Lines>77</Lines>
  <Paragraphs>63</Paragraphs>
  <TotalTime>13</TotalTime>
  <ScaleCrop>false</ScaleCrop>
  <LinksUpToDate>false</LinksUpToDate>
  <CharactersWithSpaces>1446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2026-06-18T11:58:00Z</dcterms:created>
  <dc:creator>小婉子</dc:creator>
  <cp:lastModifiedBy>初夏～奋斗</cp:lastModifiedBy>
  <cp:lastPrinted>2026-06-25T09:22:28Z</cp:lastPrinted>
  <dcterms:modified xsi:type="dcterms:W3CDTF">2026-06-25T09:23:05Z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4BD4A37869E74ED9A6BDDCCBD33BE222_11</vt:lpwstr>
  </property>
  <property fmtid="{D5CDD505-2E9C-101B-9397-08002B2CF9AE}" pid="4" name="KSOTemplateDocerSaveRecord">
    <vt:lpwstr>eyJoZGlkIjoiODdkNWI2NjA4ODRkZjc0ODM0ZDZiYWU5Y2VhNGMwODciLCJ1c2VySWQiOiIyODcwNzgyMDQifQ==</vt:lpwstr>
  </property>
</Properties>
</file>