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8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48"/>
          <w:lang w:val="en-US" w:eastAsia="zh-CN" w:bidi="ar-SA"/>
        </w:rPr>
        <w:t>附件1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江门市中小企业数字化转型预拨付奖补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资金监管合作银行申报书</w:t>
      </w:r>
    </w:p>
    <w:tbl>
      <w:tblPr>
        <w:tblStyle w:val="8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151"/>
        <w:gridCol w:w="983"/>
        <w:gridCol w:w="356"/>
        <w:gridCol w:w="1680"/>
        <w:gridCol w:w="86"/>
        <w:gridCol w:w="144"/>
        <w:gridCol w:w="897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</w:rPr>
            </w:pPr>
          </w:p>
        </w:tc>
        <w:tc>
          <w:tcPr>
            <w:tcW w:w="226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38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业务总负责人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所在部门</w:t>
            </w: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职务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申报事务联系人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联系方式</w:t>
            </w: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  <w:lang w:eastAsia="zh-CN"/>
              </w:rPr>
              <w:t>各项存款余额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lang w:eastAsia="zh-CN"/>
              </w:rPr>
              <w:t>（截至2025年12月末，万元）按人民银行金融统计制度本外币口径填报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  <w:t>各项贷款余额</w:t>
            </w:r>
          </w:p>
          <w:p>
            <w:pPr>
              <w:pStyle w:val="2"/>
              <w:ind w:firstLine="0" w:firstLineChars="0"/>
              <w:rPr>
                <w:rFonts w:hint="eastAsia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（截至2025年12月末，万元）按人民银行金融统计制度本外币口径填报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  <w:t>不良贷款率</w:t>
            </w:r>
          </w:p>
          <w:p>
            <w:pPr>
              <w:pStyle w:val="2"/>
              <w:ind w:firstLine="0" w:firstLineChars="0"/>
              <w:rPr>
                <w:rFonts w:hint="eastAsia"/>
              </w:rPr>
            </w:pPr>
            <w:r>
              <w:rPr>
                <w:rFonts w:hint="eastAsia" w:ascii="方正楷体_GBK" w:hAnsi="方正楷体_GBK" w:eastAsia="方正楷体_GBK" w:cs="方正楷体_GBK"/>
              </w:rPr>
              <w:t>（截至2025年12月末，不良贷款余额/各项贷款）按金融监管分局金融统计制度本外币口径填报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  <w:vertAlign w:val="baseline"/>
                <w:lang w:val="en-US" w:eastAsia="zh-CN"/>
              </w:rPr>
              <w:t>机构简介</w:t>
            </w:r>
          </w:p>
        </w:tc>
        <w:tc>
          <w:tcPr>
            <w:tcW w:w="6386" w:type="dxa"/>
            <w:gridSpan w:val="8"/>
            <w:noWrap w:val="0"/>
            <w:vAlign w:val="center"/>
          </w:tcPr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56" w:type="dxa"/>
            <w:gridSpan w:val="6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所提供监管账户开立、查询、资金监管与结算等服务是否免费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Cs w:val="0"/>
                <w:snapToGrid/>
                <w:color w:val="auto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二、工作方案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工作措施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请详细介绍采用何种方式进行资金监管，如何保障资金安全。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办理流程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Chars="0"/>
              <w:textAlignment w:val="auto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请详细介绍办理流程，包括但不限于各办理环节所需时间、企业所需提交资料、是否需要现场办理等。</w:t>
            </w: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团队力量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请介绍负责该业务的团队配置，详细说明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各县（市、区）能够办理预拨付奖补资金监管业务的网点数量、具体位置，若能提供上门开户等服务也可另行说明。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配套金融服务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请介绍支持制造业中小企业进行数字化改造的金融支持产品情况，包括但不限于产品利率定价情况、办理条件、办理流程、所需提交资料、办理网点分布等。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成功案例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若有，介绍为政府有关专项资金提供监管服务案例。</w:t>
            </w: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86" w:type="dxa"/>
            <w:gridSpan w:val="9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三、佐证材料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请提供：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营业执照复印件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资金监管协议、服务合作协议等文本</w:t>
            </w: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在“信用中国”网站(www.creditchina.gov.cn)下载的信用报告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  <w:t>其它相关佐证材料。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E36E"/>
    <w:multiLevelType w:val="singleLevel"/>
    <w:tmpl w:val="FFFFE3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ABE3"/>
    <w:rsid w:val="46D93C5B"/>
    <w:rsid w:val="7386A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ind w:firstLine="720"/>
      <w:outlineLvl w:val="3"/>
    </w:pPr>
    <w:rPr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880" w:firstLineChars="200"/>
    </w:pPr>
  </w:style>
  <w:style w:type="paragraph" w:styleId="3">
    <w:name w:val="Title"/>
    <w:basedOn w:val="1"/>
    <w:next w:val="1"/>
    <w:qFormat/>
    <w:uiPriority w:val="0"/>
    <w:pPr>
      <w:snapToGrid w:val="0"/>
      <w:spacing w:before="312" w:beforeLines="100" w:line="600" w:lineRule="exact"/>
      <w:jc w:val="center"/>
      <w:outlineLvl w:val="0"/>
    </w:pPr>
    <w:rPr>
      <w:rFonts w:ascii="宋体" w:hAnsi="宋体" w:cs="Arial"/>
      <w:bCs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2026-06-24T09:52:00Z</dcterms:created>
  <dc:creator>greatwall</dc:creator>
  <cp:lastModifiedBy>Acer</cp:lastModifiedBy>
  <dcterms:modified xsi:type="dcterms:W3CDTF">2026-06-24T09:24:24Z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4B3021B8F60FCF1668383B6AC2C03B15</vt:lpwstr>
  </property>
</Properties>
</file>