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E110">
      <w:pPr>
        <w:spacing w:line="560" w:lineRule="exact"/>
        <w:rPr>
          <w:rFonts w:hint="eastAsia" w:ascii="黑体" w:hAnsi="黑体" w:eastAsia="黑体"/>
          <w:sz w:val="32"/>
          <w:szCs w:val="32"/>
        </w:rPr>
      </w:pPr>
      <w:r>
        <w:rPr>
          <w:rFonts w:hint="eastAsia" w:ascii="黑体" w:hAnsi="黑体" w:eastAsia="黑体"/>
          <w:sz w:val="32"/>
          <w:szCs w:val="32"/>
        </w:rPr>
        <w:t>附件2</w:t>
      </w:r>
    </w:p>
    <w:p w14:paraId="4BFA5C5B">
      <w:pPr>
        <w:spacing w:line="560" w:lineRule="exact"/>
        <w:jc w:val="center"/>
        <w:rPr>
          <w:rFonts w:ascii="黑体" w:hAnsi="黑体" w:eastAsia="黑体"/>
          <w:sz w:val="32"/>
          <w:szCs w:val="32"/>
        </w:rPr>
      </w:pPr>
      <w:r>
        <w:rPr>
          <w:rFonts w:hint="eastAsia" w:ascii="黑体" w:hAnsi="黑体" w:eastAsia="黑体"/>
          <w:sz w:val="32"/>
          <w:szCs w:val="32"/>
        </w:rPr>
        <w:t>评分表</w:t>
      </w:r>
    </w:p>
    <w:p w14:paraId="3D9DDA8F">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自评单位名称：</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sz w:val="32"/>
          <w:szCs w:val="32"/>
        </w:rPr>
        <w:t>（盖章）</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250"/>
        <w:gridCol w:w="3659"/>
        <w:gridCol w:w="1134"/>
        <w:gridCol w:w="1134"/>
      </w:tblGrid>
      <w:tr w14:paraId="7FE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90" w:type="dxa"/>
            <w:gridSpan w:val="2"/>
            <w:vAlign w:val="center"/>
          </w:tcPr>
          <w:p w14:paraId="5EB5F629">
            <w:pPr>
              <w:spacing w:line="320" w:lineRule="exact"/>
              <w:jc w:val="center"/>
              <w:rPr>
                <w:rFonts w:hint="eastAsia" w:ascii="黑体" w:hAnsi="黑体" w:eastAsia="黑体" w:cs="仿宋_GB2312"/>
                <w:sz w:val="28"/>
                <w:szCs w:val="28"/>
              </w:rPr>
            </w:pPr>
            <w:r>
              <w:rPr>
                <w:rFonts w:hint="eastAsia" w:ascii="黑体" w:hAnsi="黑体" w:eastAsia="黑体" w:cs="仿宋_GB2312"/>
                <w:sz w:val="28"/>
                <w:szCs w:val="28"/>
              </w:rPr>
              <w:t>评审内容</w:t>
            </w:r>
          </w:p>
        </w:tc>
        <w:tc>
          <w:tcPr>
            <w:tcW w:w="3659" w:type="dxa"/>
            <w:vAlign w:val="center"/>
          </w:tcPr>
          <w:p w14:paraId="05B15A57">
            <w:pPr>
              <w:spacing w:line="320" w:lineRule="exact"/>
              <w:jc w:val="center"/>
              <w:rPr>
                <w:rFonts w:hint="eastAsia" w:ascii="黑体" w:hAnsi="黑体" w:eastAsia="黑体" w:cs="仿宋_GB2312"/>
                <w:sz w:val="28"/>
                <w:szCs w:val="28"/>
                <w:u w:val="single"/>
              </w:rPr>
            </w:pPr>
            <w:r>
              <w:rPr>
                <w:rFonts w:hint="eastAsia" w:ascii="黑体" w:hAnsi="黑体" w:eastAsia="黑体" w:cs="仿宋_GB2312"/>
                <w:sz w:val="28"/>
                <w:szCs w:val="28"/>
              </w:rPr>
              <w:t>评审细则</w:t>
            </w:r>
          </w:p>
        </w:tc>
        <w:tc>
          <w:tcPr>
            <w:tcW w:w="1134" w:type="dxa"/>
          </w:tcPr>
          <w:p w14:paraId="6145A151">
            <w:pPr>
              <w:spacing w:line="400" w:lineRule="exact"/>
              <w:jc w:val="center"/>
              <w:rPr>
                <w:rFonts w:hint="eastAsia" w:ascii="黑体" w:hAnsi="黑体" w:eastAsia="黑体" w:cs="仿宋_GB2312"/>
                <w:sz w:val="28"/>
                <w:szCs w:val="28"/>
              </w:rPr>
            </w:pPr>
            <w:r>
              <w:rPr>
                <w:rFonts w:hint="eastAsia" w:ascii="黑体" w:hAnsi="黑体" w:eastAsia="黑体" w:cs="仿宋_GB2312"/>
                <w:sz w:val="28"/>
                <w:szCs w:val="28"/>
              </w:rPr>
              <w:t>自评</w:t>
            </w:r>
          </w:p>
          <w:p w14:paraId="589E14D4">
            <w:pPr>
              <w:spacing w:line="400" w:lineRule="exact"/>
              <w:jc w:val="center"/>
              <w:rPr>
                <w:rFonts w:hint="eastAsia" w:ascii="黑体" w:hAnsi="黑体" w:eastAsia="黑体" w:cs="仿宋_GB2312"/>
                <w:sz w:val="28"/>
                <w:szCs w:val="28"/>
              </w:rPr>
            </w:pPr>
            <w:r>
              <w:rPr>
                <w:rFonts w:hint="eastAsia" w:ascii="黑体" w:hAnsi="黑体" w:eastAsia="黑体" w:cs="仿宋_GB2312"/>
                <w:sz w:val="28"/>
                <w:szCs w:val="28"/>
                <w:lang w:eastAsia="zh-CN"/>
              </w:rPr>
              <w:t>得</w:t>
            </w:r>
            <w:r>
              <w:rPr>
                <w:rFonts w:hint="eastAsia" w:ascii="黑体" w:hAnsi="黑体" w:eastAsia="黑体" w:cs="仿宋_GB2312"/>
                <w:sz w:val="28"/>
                <w:szCs w:val="28"/>
              </w:rPr>
              <w:t>分</w:t>
            </w:r>
          </w:p>
        </w:tc>
        <w:tc>
          <w:tcPr>
            <w:tcW w:w="1134" w:type="dxa"/>
          </w:tcPr>
          <w:p w14:paraId="3005D215">
            <w:pPr>
              <w:spacing w:line="400" w:lineRule="exact"/>
              <w:jc w:val="center"/>
              <w:rPr>
                <w:rFonts w:hint="eastAsia" w:ascii="黑体" w:hAnsi="黑体" w:eastAsia="黑体" w:cs="仿宋_GB2312"/>
                <w:sz w:val="28"/>
                <w:szCs w:val="28"/>
                <w:lang w:eastAsia="zh-CN"/>
              </w:rPr>
            </w:pPr>
            <w:r>
              <w:rPr>
                <w:rFonts w:hint="eastAsia" w:ascii="黑体" w:hAnsi="黑体" w:eastAsia="黑体" w:cs="仿宋_GB2312"/>
                <w:sz w:val="28"/>
                <w:szCs w:val="28"/>
                <w:lang w:eastAsia="zh-CN"/>
              </w:rPr>
              <w:t>自评</w:t>
            </w:r>
          </w:p>
          <w:p w14:paraId="5C8285D4">
            <w:pPr>
              <w:spacing w:line="400" w:lineRule="exact"/>
              <w:jc w:val="center"/>
              <w:rPr>
                <w:rFonts w:hint="eastAsia" w:ascii="黑体" w:hAnsi="黑体" w:eastAsia="黑体" w:cs="仿宋_GB2312"/>
                <w:sz w:val="28"/>
                <w:szCs w:val="28"/>
                <w:lang w:eastAsia="zh-CN"/>
              </w:rPr>
            </w:pPr>
            <w:r>
              <w:rPr>
                <w:rFonts w:hint="eastAsia" w:ascii="黑体" w:hAnsi="黑体" w:eastAsia="黑体" w:cs="仿宋_GB2312"/>
                <w:sz w:val="28"/>
                <w:szCs w:val="28"/>
                <w:lang w:eastAsia="zh-CN"/>
              </w:rPr>
              <w:t>依据</w:t>
            </w:r>
          </w:p>
        </w:tc>
      </w:tr>
      <w:tr w14:paraId="297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40" w:type="dxa"/>
            <w:vMerge w:val="restart"/>
            <w:vAlign w:val="center"/>
          </w:tcPr>
          <w:p w14:paraId="5303EBFB">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技术商务评分</w:t>
            </w:r>
          </w:p>
          <w:p w14:paraId="5880E4DB">
            <w:pPr>
              <w:pStyle w:val="37"/>
              <w:spacing w:line="320" w:lineRule="exact"/>
              <w:jc w:val="center"/>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（90%）</w:t>
            </w:r>
          </w:p>
        </w:tc>
        <w:tc>
          <w:tcPr>
            <w:tcW w:w="1250" w:type="dxa"/>
            <w:vAlign w:val="center"/>
          </w:tcPr>
          <w:p w14:paraId="63D89C3E">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产品的重要技术参数情况</w:t>
            </w:r>
          </w:p>
          <w:p w14:paraId="07EEEBF1">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（45分）</w:t>
            </w:r>
          </w:p>
        </w:tc>
        <w:tc>
          <w:tcPr>
            <w:tcW w:w="3659" w:type="dxa"/>
            <w:vAlign w:val="center"/>
          </w:tcPr>
          <w:p w14:paraId="73DE21DD">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核对技术要求的响应情况，满足技术参数标▲的，每一项得3分；满足技术参数非标▲的，每一项得1分。</w:t>
            </w:r>
          </w:p>
          <w:p w14:paraId="66FA401C">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若设备技术参数要求供应商提供佐证材料的，供应商需提供相应的证明材料原件或复印件并加盖供应商公章，未提供或提供不全不得分。</w:t>
            </w:r>
          </w:p>
        </w:tc>
        <w:tc>
          <w:tcPr>
            <w:tcW w:w="1134" w:type="dxa"/>
          </w:tcPr>
          <w:p w14:paraId="4FC6F113">
            <w:pPr>
              <w:spacing w:line="320" w:lineRule="exact"/>
              <w:jc w:val="left"/>
              <w:rPr>
                <w:rFonts w:hint="eastAsia" w:ascii="仿宋_GB2312" w:hAnsi="仿宋_GB2312" w:eastAsia="仿宋_GB2312" w:cs="仿宋_GB2312"/>
                <w:szCs w:val="21"/>
              </w:rPr>
            </w:pPr>
          </w:p>
        </w:tc>
        <w:tc>
          <w:tcPr>
            <w:tcW w:w="1134" w:type="dxa"/>
          </w:tcPr>
          <w:p w14:paraId="55376292">
            <w:pPr>
              <w:spacing w:line="320" w:lineRule="exact"/>
              <w:jc w:val="left"/>
              <w:rPr>
                <w:rFonts w:hint="eastAsia" w:ascii="仿宋_GB2312" w:hAnsi="仿宋_GB2312" w:eastAsia="仿宋_GB2312" w:cs="仿宋_GB2312"/>
                <w:szCs w:val="21"/>
              </w:rPr>
            </w:pPr>
          </w:p>
        </w:tc>
      </w:tr>
      <w:tr w14:paraId="623D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40" w:type="dxa"/>
            <w:vMerge w:val="continue"/>
            <w:vAlign w:val="center"/>
          </w:tcPr>
          <w:p w14:paraId="53F3BE90">
            <w:pPr>
              <w:spacing w:line="320" w:lineRule="exact"/>
              <w:jc w:val="center"/>
              <w:rPr>
                <w:rFonts w:hint="eastAsia" w:ascii="仿宋_GB2312" w:hAnsi="仿宋_GB2312" w:eastAsia="仿宋_GB2312" w:cs="仿宋_GB2312"/>
                <w:szCs w:val="21"/>
              </w:rPr>
            </w:pPr>
          </w:p>
        </w:tc>
        <w:tc>
          <w:tcPr>
            <w:tcW w:w="1250" w:type="dxa"/>
            <w:vAlign w:val="center"/>
          </w:tcPr>
          <w:p w14:paraId="48E27A5F">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投报文件质量</w:t>
            </w:r>
          </w:p>
          <w:p w14:paraId="337D631B">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(15分)</w:t>
            </w:r>
          </w:p>
        </w:tc>
        <w:tc>
          <w:tcPr>
            <w:tcW w:w="3659" w:type="dxa"/>
            <w:vAlign w:val="center"/>
          </w:tcPr>
          <w:p w14:paraId="6C4FDF6B">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投报文件的装订质量、完整性及对采购文件的理解、响应情况等：</w:t>
            </w:r>
          </w:p>
          <w:p w14:paraId="4F3AF931">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1、完全满足并优于招标文件要求，得15分；</w:t>
            </w:r>
          </w:p>
          <w:p w14:paraId="2476A73E">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2、较好满足招标文件要求，得12分；</w:t>
            </w:r>
          </w:p>
          <w:p w14:paraId="76FAB236">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3、基本满足招标文件要求，得10分；</w:t>
            </w:r>
          </w:p>
          <w:p w14:paraId="0A93C6C5">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4、低于招标文件要求，得8分。</w:t>
            </w:r>
          </w:p>
        </w:tc>
        <w:tc>
          <w:tcPr>
            <w:tcW w:w="1134" w:type="dxa"/>
          </w:tcPr>
          <w:p w14:paraId="15C834F1">
            <w:pPr>
              <w:spacing w:line="320" w:lineRule="exact"/>
              <w:jc w:val="left"/>
              <w:rPr>
                <w:rFonts w:hint="eastAsia" w:ascii="仿宋_GB2312" w:hAnsi="仿宋_GB2312" w:eastAsia="仿宋_GB2312" w:cs="仿宋_GB2312"/>
                <w:szCs w:val="21"/>
              </w:rPr>
            </w:pPr>
          </w:p>
        </w:tc>
        <w:tc>
          <w:tcPr>
            <w:tcW w:w="1134" w:type="dxa"/>
          </w:tcPr>
          <w:p w14:paraId="0C09A1B4">
            <w:pPr>
              <w:spacing w:line="320" w:lineRule="exact"/>
              <w:jc w:val="left"/>
              <w:rPr>
                <w:rFonts w:hint="eastAsia" w:ascii="仿宋_GB2312" w:hAnsi="仿宋_GB2312" w:eastAsia="仿宋_GB2312" w:cs="仿宋_GB2312"/>
                <w:szCs w:val="21"/>
              </w:rPr>
            </w:pPr>
          </w:p>
        </w:tc>
      </w:tr>
      <w:tr w14:paraId="30F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40" w:type="dxa"/>
            <w:vMerge w:val="continue"/>
            <w:vAlign w:val="center"/>
          </w:tcPr>
          <w:p w14:paraId="5DC7F169">
            <w:pPr>
              <w:spacing w:line="320" w:lineRule="exact"/>
              <w:jc w:val="center"/>
              <w:rPr>
                <w:rFonts w:hint="eastAsia" w:ascii="仿宋_GB2312" w:hAnsi="仿宋_GB2312" w:eastAsia="仿宋_GB2312" w:cs="仿宋_GB2312"/>
                <w:szCs w:val="21"/>
              </w:rPr>
            </w:pPr>
          </w:p>
        </w:tc>
        <w:tc>
          <w:tcPr>
            <w:tcW w:w="1250" w:type="dxa"/>
            <w:vAlign w:val="center"/>
          </w:tcPr>
          <w:p w14:paraId="5A852BF9">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销售业绩情况</w:t>
            </w:r>
          </w:p>
          <w:p w14:paraId="41F4DFB3">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3659" w:type="dxa"/>
            <w:vAlign w:val="center"/>
          </w:tcPr>
          <w:p w14:paraId="6A36B39C">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根据投标人提供近</w:t>
            </w:r>
            <w:r>
              <w:rPr>
                <w:rFonts w:hint="eastAsia" w:ascii="仿宋_GB2312" w:hAnsi="仿宋_GB2312" w:eastAsia="仿宋_GB2312" w:cs="仿宋_GB2312"/>
                <w:szCs w:val="21"/>
                <w:lang w:eastAsia="zh-CN"/>
              </w:rPr>
              <w:t>半</w:t>
            </w:r>
            <w:r>
              <w:rPr>
                <w:rFonts w:hint="eastAsia" w:ascii="仿宋_GB2312" w:hAnsi="仿宋_GB2312" w:eastAsia="仿宋_GB2312" w:cs="仿宋_GB2312"/>
                <w:szCs w:val="21"/>
              </w:rPr>
              <w:t>年销售同类产品情况、近</w:t>
            </w:r>
            <w:r>
              <w:rPr>
                <w:rFonts w:hint="eastAsia" w:ascii="仿宋_GB2312" w:hAnsi="仿宋_GB2312" w:eastAsia="仿宋_GB2312" w:cs="仿宋_GB2312"/>
                <w:szCs w:val="21"/>
                <w:lang w:eastAsia="zh-CN"/>
              </w:rPr>
              <w:t>半</w:t>
            </w:r>
            <w:r>
              <w:rPr>
                <w:rFonts w:hint="eastAsia" w:ascii="仿宋_GB2312" w:hAnsi="仿宋_GB2312" w:eastAsia="仿宋_GB2312" w:cs="仿宋_GB2312"/>
                <w:szCs w:val="21"/>
              </w:rPr>
              <w:t>年销售合同进行评审：</w:t>
            </w:r>
          </w:p>
          <w:p w14:paraId="4F9562DA">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每提供一份销售合同等材料，得</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分，最高10分。</w:t>
            </w:r>
          </w:p>
        </w:tc>
        <w:tc>
          <w:tcPr>
            <w:tcW w:w="1134" w:type="dxa"/>
          </w:tcPr>
          <w:p w14:paraId="6F6A5EF4">
            <w:pPr>
              <w:spacing w:line="320" w:lineRule="exact"/>
              <w:jc w:val="left"/>
              <w:rPr>
                <w:rFonts w:hint="eastAsia" w:ascii="仿宋_GB2312" w:hAnsi="仿宋_GB2312" w:eastAsia="仿宋_GB2312" w:cs="仿宋_GB2312"/>
                <w:szCs w:val="21"/>
              </w:rPr>
            </w:pPr>
          </w:p>
        </w:tc>
        <w:tc>
          <w:tcPr>
            <w:tcW w:w="1134" w:type="dxa"/>
          </w:tcPr>
          <w:p w14:paraId="08B49089">
            <w:pPr>
              <w:spacing w:line="320" w:lineRule="exact"/>
              <w:jc w:val="left"/>
              <w:rPr>
                <w:rFonts w:hint="eastAsia" w:ascii="仿宋_GB2312" w:hAnsi="仿宋_GB2312" w:eastAsia="仿宋_GB2312" w:cs="仿宋_GB2312"/>
                <w:szCs w:val="21"/>
              </w:rPr>
            </w:pPr>
          </w:p>
        </w:tc>
      </w:tr>
      <w:tr w14:paraId="5D14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vAlign w:val="center"/>
          </w:tcPr>
          <w:p w14:paraId="2385C514">
            <w:pPr>
              <w:spacing w:line="320" w:lineRule="exact"/>
              <w:jc w:val="center"/>
              <w:rPr>
                <w:rFonts w:hint="eastAsia" w:ascii="仿宋_GB2312" w:hAnsi="仿宋_GB2312" w:eastAsia="仿宋_GB2312" w:cs="仿宋_GB2312"/>
                <w:szCs w:val="21"/>
              </w:rPr>
            </w:pPr>
          </w:p>
        </w:tc>
        <w:tc>
          <w:tcPr>
            <w:tcW w:w="1250" w:type="dxa"/>
            <w:vAlign w:val="center"/>
          </w:tcPr>
          <w:p w14:paraId="5DE64563">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投标人安装、调试、培训计划、实施执行方案</w:t>
            </w:r>
          </w:p>
          <w:p w14:paraId="6600DED9">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3659" w:type="dxa"/>
            <w:vAlign w:val="center"/>
          </w:tcPr>
          <w:p w14:paraId="4A721CA6">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根据投标人提供的安装、调试、培训计划、实施执行方案进行评审：</w:t>
            </w:r>
          </w:p>
          <w:p w14:paraId="16C1E2C6">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1、投标人提供的方案可行性高，内容具体、细致，得10分；</w:t>
            </w:r>
          </w:p>
          <w:p w14:paraId="272590EF">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2、投标人提供的方案可行性较高，内容较具体、细致，得7分；</w:t>
            </w:r>
          </w:p>
          <w:p w14:paraId="6735F3D8">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3、投标人提供的方案可行性一般，内容不够具体、细致，得4分；</w:t>
            </w:r>
          </w:p>
          <w:p w14:paraId="1BD88933">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4、投标人没有提供方案，或内容有缺项漏项，得0分。</w:t>
            </w:r>
          </w:p>
        </w:tc>
        <w:tc>
          <w:tcPr>
            <w:tcW w:w="1134" w:type="dxa"/>
          </w:tcPr>
          <w:p w14:paraId="7A2ADD37">
            <w:pPr>
              <w:spacing w:line="320" w:lineRule="exact"/>
              <w:jc w:val="left"/>
              <w:rPr>
                <w:rFonts w:hint="eastAsia" w:ascii="仿宋_GB2312" w:hAnsi="仿宋_GB2312" w:eastAsia="仿宋_GB2312" w:cs="仿宋_GB2312"/>
                <w:szCs w:val="21"/>
              </w:rPr>
            </w:pPr>
          </w:p>
        </w:tc>
        <w:tc>
          <w:tcPr>
            <w:tcW w:w="1134" w:type="dxa"/>
          </w:tcPr>
          <w:p w14:paraId="76BB1BAE">
            <w:pPr>
              <w:spacing w:line="320" w:lineRule="exact"/>
              <w:jc w:val="left"/>
              <w:rPr>
                <w:rFonts w:hint="eastAsia" w:ascii="仿宋_GB2312" w:hAnsi="仿宋_GB2312" w:eastAsia="仿宋_GB2312" w:cs="仿宋_GB2312"/>
                <w:szCs w:val="21"/>
              </w:rPr>
            </w:pPr>
          </w:p>
        </w:tc>
      </w:tr>
      <w:tr w14:paraId="0FAC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vAlign w:val="center"/>
          </w:tcPr>
          <w:p w14:paraId="6C0D6E77">
            <w:pPr>
              <w:spacing w:line="320" w:lineRule="exact"/>
              <w:jc w:val="center"/>
              <w:rPr>
                <w:rFonts w:hint="eastAsia" w:ascii="仿宋_GB2312" w:hAnsi="仿宋_GB2312" w:eastAsia="仿宋_GB2312" w:cs="仿宋_GB2312"/>
                <w:szCs w:val="21"/>
              </w:rPr>
            </w:pPr>
          </w:p>
        </w:tc>
        <w:tc>
          <w:tcPr>
            <w:tcW w:w="1250" w:type="dxa"/>
            <w:vAlign w:val="center"/>
          </w:tcPr>
          <w:p w14:paraId="5A53CAE8">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售后服务方案</w:t>
            </w:r>
          </w:p>
          <w:p w14:paraId="5B9C13E6">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3659" w:type="dxa"/>
            <w:vAlign w:val="center"/>
          </w:tcPr>
          <w:p w14:paraId="0DB454CC">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根据投标人提供的售后服务方案及服务承诺进行综合评分：</w:t>
            </w:r>
          </w:p>
          <w:p w14:paraId="5A25BB59">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1、售后服务方案完善合理，可行性高，服务人员的资质、备件响应、应急方案详细具体，与项目实际情况相符，得10分；</w:t>
            </w:r>
          </w:p>
          <w:p w14:paraId="749129BC">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2、售后服务方案较为完善，可行性较高，服务人员的资质、备件响应、应急方案较详细，与项目实际情况相符，得7分；</w:t>
            </w:r>
          </w:p>
          <w:p w14:paraId="7FFAFA6B">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3、售后服务方案较合理，可行性一般，服务人员的资质、备件响应、应急方案一般，与项目实际情况相符，得4分；</w:t>
            </w:r>
          </w:p>
          <w:p w14:paraId="5A65D514">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4、售后服务方案可行性差或无提供售后服务方案，得0分。</w:t>
            </w:r>
          </w:p>
        </w:tc>
        <w:tc>
          <w:tcPr>
            <w:tcW w:w="1134" w:type="dxa"/>
          </w:tcPr>
          <w:p w14:paraId="0AB0A058">
            <w:pPr>
              <w:spacing w:line="320" w:lineRule="exact"/>
              <w:jc w:val="left"/>
              <w:rPr>
                <w:rFonts w:hint="eastAsia" w:ascii="仿宋_GB2312" w:hAnsi="仿宋_GB2312" w:eastAsia="仿宋_GB2312" w:cs="仿宋_GB2312"/>
                <w:szCs w:val="21"/>
              </w:rPr>
            </w:pPr>
          </w:p>
        </w:tc>
        <w:tc>
          <w:tcPr>
            <w:tcW w:w="1134" w:type="dxa"/>
          </w:tcPr>
          <w:p w14:paraId="442BE2F2">
            <w:pPr>
              <w:spacing w:line="320" w:lineRule="exact"/>
              <w:jc w:val="left"/>
              <w:rPr>
                <w:rFonts w:hint="eastAsia" w:ascii="仿宋_GB2312" w:hAnsi="仿宋_GB2312" w:eastAsia="仿宋_GB2312" w:cs="仿宋_GB2312"/>
                <w:szCs w:val="21"/>
              </w:rPr>
            </w:pPr>
          </w:p>
        </w:tc>
      </w:tr>
      <w:tr w14:paraId="5D9A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90" w:type="dxa"/>
            <w:gridSpan w:val="2"/>
            <w:vAlign w:val="center"/>
          </w:tcPr>
          <w:p w14:paraId="5EB95E68">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价格评分（10%）</w:t>
            </w:r>
          </w:p>
        </w:tc>
        <w:tc>
          <w:tcPr>
            <w:tcW w:w="3659" w:type="dxa"/>
            <w:vAlign w:val="center"/>
          </w:tcPr>
          <w:p w14:paraId="0867B4A5">
            <w:pPr>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Cs w:val="21"/>
              </w:rPr>
              <w:t>满足招标文件要求且价格最低的投标价为基准价，其价格分为满分</w:t>
            </w:r>
            <w:r>
              <w:rPr>
                <w:rFonts w:hint="eastAsia" w:ascii="仿宋_GB2312" w:hAnsi="仿宋_GB2312" w:eastAsia="仿宋_GB2312" w:cs="仿宋_GB2312"/>
                <w:szCs w:val="21"/>
                <w:lang w:val="en-US" w:eastAsia="zh-CN"/>
              </w:rPr>
              <w:t>10分</w:t>
            </w:r>
            <w:r>
              <w:rPr>
                <w:rFonts w:hint="eastAsia" w:ascii="仿宋_GB2312" w:hAnsi="仿宋_GB2312" w:eastAsia="仿宋_GB2312" w:cs="仿宋_GB2312"/>
                <w:szCs w:val="21"/>
              </w:rPr>
              <w:t>。</w:t>
            </w:r>
            <w:r>
              <w:rPr>
                <w:rFonts w:hint="eastAsia" w:ascii="仿宋_GB2312" w:hAnsi="仿宋_GB2312" w:eastAsia="仿宋_GB2312" w:cs="仿宋_GB2312"/>
                <w:color w:val="000000"/>
                <w:kern w:val="0"/>
                <w:sz w:val="21"/>
                <w:szCs w:val="21"/>
              </w:rPr>
              <w:t>其他</w:t>
            </w:r>
            <w:r>
              <w:rPr>
                <w:rFonts w:hint="eastAsia" w:ascii="仿宋_GB2312" w:hAnsi="仿宋_GB2312" w:eastAsia="仿宋_GB2312" w:cs="仿宋_GB2312"/>
                <w:color w:val="000000"/>
                <w:kern w:val="0"/>
                <w:sz w:val="21"/>
                <w:szCs w:val="21"/>
                <w:lang w:eastAsia="zh-CN"/>
              </w:rPr>
              <w:t>供应商</w:t>
            </w:r>
            <w:r>
              <w:rPr>
                <w:rFonts w:hint="eastAsia" w:ascii="仿宋_GB2312" w:hAnsi="仿宋_GB2312" w:eastAsia="仿宋_GB2312" w:cs="仿宋_GB2312"/>
                <w:color w:val="000000"/>
                <w:kern w:val="0"/>
                <w:sz w:val="21"/>
                <w:szCs w:val="21"/>
              </w:rPr>
              <w:t>的价格分统一按照下列公式计算：价格分</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(基准价／投标报价)×10</w:t>
            </w:r>
            <w:bookmarkStart w:id="0" w:name="_GoBack"/>
            <w:bookmarkEnd w:id="0"/>
          </w:p>
          <w:p w14:paraId="0D89D0E5">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说明:</w:t>
            </w:r>
          </w:p>
          <w:p w14:paraId="7B1FA872">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1、根据财库(2020)46号文要求，对符合价格扣除规定企业的报价给予10%的价格扣除，用扣除后的价格参加评审。</w:t>
            </w:r>
          </w:p>
          <w:p w14:paraId="088E13A8">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2、上述扣除后的价格仅用于计算价格评分，成交金额以实际投标(响应)价为准。</w:t>
            </w:r>
          </w:p>
          <w:p w14:paraId="4D94B96C">
            <w:pPr>
              <w:spacing w:line="3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3、计算过程及结果数字保留两位小数。</w:t>
            </w:r>
          </w:p>
        </w:tc>
        <w:tc>
          <w:tcPr>
            <w:tcW w:w="1134" w:type="dxa"/>
          </w:tcPr>
          <w:p w14:paraId="740834F9">
            <w:pPr>
              <w:spacing w:line="320" w:lineRule="exact"/>
              <w:jc w:val="left"/>
              <w:rPr>
                <w:rFonts w:hint="eastAsia" w:ascii="仿宋_GB2312" w:hAnsi="仿宋_GB2312" w:eastAsia="仿宋_GB2312" w:cs="仿宋_GB2312"/>
                <w:szCs w:val="21"/>
              </w:rPr>
            </w:pPr>
          </w:p>
        </w:tc>
        <w:tc>
          <w:tcPr>
            <w:tcW w:w="1134" w:type="dxa"/>
          </w:tcPr>
          <w:p w14:paraId="52ABD81F">
            <w:pPr>
              <w:spacing w:line="320" w:lineRule="exact"/>
              <w:jc w:val="left"/>
              <w:rPr>
                <w:rFonts w:hint="eastAsia" w:ascii="仿宋_GB2312" w:hAnsi="仿宋_GB2312" w:eastAsia="仿宋_GB2312" w:cs="仿宋_GB2312"/>
                <w:szCs w:val="21"/>
              </w:rPr>
            </w:pPr>
          </w:p>
        </w:tc>
      </w:tr>
    </w:tbl>
    <w:p w14:paraId="027E7ED5">
      <w:pPr>
        <w:ind w:firstLine="211" w:firstLineChars="10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注：</w:t>
      </w:r>
      <w:r>
        <w:rPr>
          <w:rFonts w:hint="eastAsia" w:ascii="仿宋_GB2312" w:hAnsi="仿宋_GB2312" w:eastAsia="仿宋_GB2312" w:cs="仿宋_GB2312"/>
          <w:b/>
          <w:bCs/>
          <w:szCs w:val="21"/>
        </w:rPr>
        <w:t>1、</w:t>
      </w:r>
      <w:r>
        <w:rPr>
          <w:rFonts w:ascii="仿宋_GB2312" w:hAnsi="仿宋_GB2312" w:eastAsia="仿宋_GB2312" w:cs="仿宋_GB2312"/>
          <w:b/>
          <w:bCs/>
          <w:kern w:val="0"/>
          <w:szCs w:val="21"/>
        </w:rPr>
        <w:t>请投标人在投标文件中标注以上评分项目证明资料对应的页码。</w:t>
      </w:r>
    </w:p>
    <w:p w14:paraId="42C98D1C">
      <w:pPr>
        <w:ind w:left="1052" w:leftChars="300" w:hanging="422" w:hangingChars="200"/>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2、</w:t>
      </w:r>
      <w:r>
        <w:rPr>
          <w:rFonts w:hint="eastAsia" w:ascii="仿宋_GB2312" w:hAnsi="仿宋_GB2312" w:eastAsia="仿宋_GB2312" w:cs="仿宋_GB2312"/>
          <w:b/>
          <w:bCs/>
          <w:szCs w:val="21"/>
        </w:rPr>
        <w:t>综合评分最高者原则上推荐为成交供应商，综合评分相同的以报价低者推荐为成</w:t>
      </w:r>
    </w:p>
    <w:p w14:paraId="76192E59">
      <w:pPr>
        <w:ind w:firstLine="843" w:firstLineChars="4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交供应商。</w:t>
      </w:r>
    </w:p>
    <w:p w14:paraId="6808A1F6">
      <w:pPr>
        <w:ind w:left="841" w:leftChars="300" w:hanging="211" w:hangingChars="10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3、评标委员会认为报价供应商的报价明显低于其他通过符合性审查报价供应商的报价，有可能影响产品质量或者不能诚信履约的，应当要求供应商提供书面说明，必要时提交相证明材料；报价供应商不能证明其报价合理性的，评标委员会应当将其作为无效投标处理。</w:t>
      </w:r>
    </w:p>
    <w:p w14:paraId="16476D3B">
      <w:pPr>
        <w:rPr>
          <w:rFonts w:hint="eastAsia" w:ascii="仿宋_GB2312" w:hAnsi="仿宋_GB2312" w:eastAsia="仿宋_GB2312" w:cs="仿宋_GB2312"/>
          <w:b/>
          <w:b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DB"/>
    <w:rsid w:val="0002283F"/>
    <w:rsid w:val="002A056F"/>
    <w:rsid w:val="003530DB"/>
    <w:rsid w:val="003E1F7E"/>
    <w:rsid w:val="005B267E"/>
    <w:rsid w:val="006546EF"/>
    <w:rsid w:val="00870121"/>
    <w:rsid w:val="00AA223E"/>
    <w:rsid w:val="00B70E30"/>
    <w:rsid w:val="00F40034"/>
    <w:rsid w:val="0F87344A"/>
    <w:rsid w:val="1D5735C9"/>
    <w:rsid w:val="5B0867BA"/>
    <w:rsid w:val="5FF756B7"/>
    <w:rsid w:val="6725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1072</Words>
  <Characters>1102</Characters>
  <Lines>67</Lines>
  <Paragraphs>49</Paragraphs>
  <TotalTime>3</TotalTime>
  <ScaleCrop>false</ScaleCrop>
  <LinksUpToDate>false</LinksUpToDate>
  <CharactersWithSpaces>1123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2026-05-17T06:54:00Z</dcterms:created>
  <dc:creator>文 孙</dc:creator>
  <cp:lastModifiedBy>jojo</cp:lastModifiedBy>
  <dcterms:modified xsi:type="dcterms:W3CDTF">2026-06-08T09:46:54Z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eyJoZGlkIjoiODVlNjJkZjkxOTk1YmU3MDRkYjViYmE4Yjc4MmE5ZjUiLCJ1c2VySWQiOiIxMDgwMjc4MTc5In0=</vt:lpwstr>
  </property>
  <property fmtid="{D5CDD505-2E9C-101B-9397-08002B2CF9AE}" pid="3" name="KSOProductBuildVer">
    <vt:lpwstr>2052-12.1.0.26895</vt:lpwstr>
  </property>
  <property fmtid="{D5CDD505-2E9C-101B-9397-08002B2CF9AE}" pid="4" name="ICV">
    <vt:lpwstr>7D351F02DBAF4E3AAE09F3A9B04C21D0_12</vt:lpwstr>
  </property>
</Properties>
</file>