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5054CA">
      <w:pPr>
        <w:spacing w:line="520" w:lineRule="exact"/>
        <w:jc w:val="left"/>
        <w:rPr>
          <w:rFonts w:hint="default" w:ascii="Times New Roman" w:hAnsi="Times New Roman" w:eastAsia="方正黑体_GBK" w:cs="Times New Roman"/>
          <w:color w:val="auto"/>
          <w:sz w:val="30"/>
          <w:szCs w:val="30"/>
          <w:lang w:val="en"/>
        </w:rPr>
      </w:pPr>
      <w:r>
        <w:rPr>
          <w:rFonts w:hint="default" w:ascii="Times New Roman" w:hAnsi="Times New Roman" w:eastAsia="方正黑体_GBK" w:cs="Times New Roman"/>
          <w:color w:val="auto"/>
          <w:kern w:val="0"/>
          <w:sz w:val="30"/>
          <w:szCs w:val="30"/>
          <w:lang w:val="en"/>
        </w:rPr>
        <w:t>附件2</w:t>
      </w:r>
    </w:p>
    <w:p w14:paraId="390726B3">
      <w:pPr>
        <w:spacing w:line="560" w:lineRule="exact"/>
        <w:jc w:val="center"/>
        <w:rPr>
          <w:rFonts w:hint="default" w:ascii="Times New Roman" w:hAnsi="Times New Roman" w:eastAsia="方正大标宋_GBK" w:cs="Times New Roman"/>
          <w:b w:val="0"/>
          <w:bCs/>
          <w:color w:val="auto"/>
          <w:kern w:val="0"/>
          <w:sz w:val="36"/>
          <w:szCs w:val="36"/>
          <w:lang w:val="en"/>
        </w:rPr>
      </w:pPr>
      <w:r>
        <w:rPr>
          <w:rFonts w:hint="default" w:ascii="Times New Roman" w:hAnsi="Times New Roman" w:eastAsia="方正大标宋_GBK" w:cs="Times New Roman"/>
          <w:b w:val="0"/>
          <w:bCs/>
          <w:color w:val="auto"/>
          <w:sz w:val="36"/>
          <w:szCs w:val="36"/>
          <w:lang w:val="en"/>
        </w:rPr>
        <w:t>评分表</w:t>
      </w:r>
    </w:p>
    <w:tbl>
      <w:tblPr>
        <w:tblStyle w:val="7"/>
        <w:tblW w:w="97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2"/>
        <w:gridCol w:w="1430"/>
        <w:gridCol w:w="7089"/>
        <w:gridCol w:w="520"/>
      </w:tblGrid>
      <w:tr w14:paraId="34D6C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0" w:hRule="atLeast"/>
          <w:tblHeader/>
          <w:jc w:val="center"/>
        </w:trPr>
        <w:tc>
          <w:tcPr>
            <w:tcW w:w="662" w:type="dxa"/>
            <w:noWrap w:val="0"/>
            <w:vAlign w:val="center"/>
          </w:tcPr>
          <w:p w14:paraId="03EDFE8B">
            <w:pPr>
              <w:snapToGrid w:val="0"/>
              <w:jc w:val="center"/>
              <w:rPr>
                <w:rFonts w:ascii="Times New Roman" w:hAnsi="Times New Roman" w:eastAsia="仿宋" w:cs="Times New Roman"/>
                <w:b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1430" w:type="dxa"/>
            <w:noWrap w:val="0"/>
            <w:vAlign w:val="center"/>
          </w:tcPr>
          <w:p w14:paraId="05692B99">
            <w:pPr>
              <w:snapToGrid w:val="0"/>
              <w:jc w:val="center"/>
              <w:rPr>
                <w:rFonts w:ascii="Times New Roman" w:hAnsi="Times New Roman" w:eastAsia="仿宋" w:cs="Times New Roman"/>
                <w:b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8"/>
                <w:szCs w:val="28"/>
              </w:rPr>
              <w:t>评分项目及权重</w:t>
            </w:r>
          </w:p>
        </w:tc>
        <w:tc>
          <w:tcPr>
            <w:tcW w:w="7089" w:type="dxa"/>
            <w:noWrap w:val="0"/>
            <w:vAlign w:val="center"/>
          </w:tcPr>
          <w:p w14:paraId="4B8004E2">
            <w:pPr>
              <w:pStyle w:val="6"/>
              <w:snapToGrid w:val="0"/>
              <w:jc w:val="center"/>
              <w:rPr>
                <w:rFonts w:ascii="Times New Roman" w:hAnsi="Times New Roman" w:eastAsia="仿宋"/>
                <w:b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/>
                <w:b/>
                <w:color w:val="auto"/>
                <w:sz w:val="28"/>
                <w:szCs w:val="28"/>
              </w:rPr>
              <w:t>评分标准</w:t>
            </w:r>
          </w:p>
        </w:tc>
        <w:tc>
          <w:tcPr>
            <w:tcW w:w="520" w:type="dxa"/>
            <w:noWrap w:val="0"/>
            <w:vAlign w:val="center"/>
          </w:tcPr>
          <w:p w14:paraId="4FDF7FD1">
            <w:pPr>
              <w:pStyle w:val="6"/>
              <w:snapToGrid w:val="0"/>
              <w:jc w:val="center"/>
              <w:rPr>
                <w:rFonts w:ascii="Times New Roman" w:hAnsi="Times New Roman" w:eastAsia="仿宋"/>
                <w:b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/>
                <w:b/>
                <w:color w:val="auto"/>
                <w:sz w:val="28"/>
                <w:szCs w:val="28"/>
              </w:rPr>
              <w:t>得分</w:t>
            </w:r>
          </w:p>
        </w:tc>
      </w:tr>
      <w:tr w14:paraId="17D58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2" w:hRule="atLeast"/>
          <w:jc w:val="center"/>
        </w:trPr>
        <w:tc>
          <w:tcPr>
            <w:tcW w:w="662" w:type="dxa"/>
            <w:noWrap w:val="0"/>
            <w:vAlign w:val="center"/>
          </w:tcPr>
          <w:p w14:paraId="5BA45078">
            <w:pPr>
              <w:pStyle w:val="9"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430" w:type="dxa"/>
            <w:noWrap w:val="0"/>
            <w:vAlign w:val="center"/>
          </w:tcPr>
          <w:p w14:paraId="7560C775">
            <w:pPr>
              <w:pStyle w:val="9"/>
              <w:spacing w:line="360" w:lineRule="exact"/>
              <w:ind w:firstLine="0" w:firstLineChars="0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  <w:highlight w:val="none"/>
                <w:lang w:val="e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  <w:lang w:val="en"/>
              </w:rPr>
              <w:t>价格</w:t>
            </w:r>
          </w:p>
          <w:p w14:paraId="23C85213">
            <w:pPr>
              <w:pStyle w:val="9"/>
              <w:spacing w:line="36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  <w:lang w:val="en"/>
              </w:rPr>
              <w:t>（1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  <w:lang w:val="en"/>
              </w:rPr>
              <w:t>分）</w:t>
            </w:r>
          </w:p>
        </w:tc>
        <w:tc>
          <w:tcPr>
            <w:tcW w:w="7089" w:type="dxa"/>
            <w:noWrap w:val="0"/>
            <w:vAlign w:val="center"/>
          </w:tcPr>
          <w:p w14:paraId="553255C4">
            <w:pPr>
              <w:pStyle w:val="9"/>
              <w:spacing w:line="360" w:lineRule="exact"/>
              <w:ind w:firstLine="0" w:firstLineChars="0"/>
              <w:jc w:val="left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  <w:lang w:val="en"/>
              </w:rPr>
              <w:t>取满足采购文件要求且价格扣除后的最低投标报价作为评标基准价，其价格分为满分。其他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  <w:lang w:val="en" w:eastAsia="zh-CN"/>
              </w:rPr>
              <w:t>投标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  <w:lang w:val="en"/>
              </w:rPr>
              <w:t>供应商的价格分统一按照下列公式计算：价格扣除后的投标报价得分=（评标基准价/价格扣除后的投标报价）×1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highlight w:val="none"/>
                <w:lang w:val="en-US" w:eastAsia="zh-CN"/>
              </w:rPr>
              <w:t>5</w:t>
            </w:r>
          </w:p>
          <w:p w14:paraId="39653F20">
            <w:pPr>
              <w:pStyle w:val="9"/>
              <w:spacing w:line="360" w:lineRule="exact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  <w:lang w:val="en"/>
              </w:rPr>
              <w:t>（对符合规定的小型和微型企业（监狱企业、残疾人福利单位视同小型、微型企业）报价给予10%的价格扣除。）</w:t>
            </w:r>
          </w:p>
        </w:tc>
        <w:tc>
          <w:tcPr>
            <w:tcW w:w="520" w:type="dxa"/>
            <w:noWrap w:val="0"/>
            <w:vAlign w:val="center"/>
          </w:tcPr>
          <w:p w14:paraId="61EA28D6">
            <w:pPr>
              <w:pStyle w:val="9"/>
              <w:spacing w:line="360" w:lineRule="exact"/>
              <w:ind w:firstLine="0" w:firstLineChars="0"/>
              <w:jc w:val="center"/>
              <w:rPr>
                <w:rFonts w:ascii="Times New Roman" w:hAnsi="Times New Roman" w:eastAsia="仿宋"/>
                <w:color w:val="auto"/>
                <w:sz w:val="24"/>
                <w:szCs w:val="24"/>
              </w:rPr>
            </w:pPr>
          </w:p>
        </w:tc>
      </w:tr>
      <w:tr w14:paraId="2A388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6" w:hRule="atLeast"/>
          <w:jc w:val="center"/>
        </w:trPr>
        <w:tc>
          <w:tcPr>
            <w:tcW w:w="662" w:type="dxa"/>
            <w:noWrap w:val="0"/>
            <w:vAlign w:val="center"/>
          </w:tcPr>
          <w:p w14:paraId="58F96B12">
            <w:pPr>
              <w:pStyle w:val="9"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430" w:type="dxa"/>
            <w:noWrap w:val="0"/>
            <w:vAlign w:val="center"/>
          </w:tcPr>
          <w:p w14:paraId="192E6B68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"/>
              </w:rPr>
              <w:t>实施方案</w:t>
            </w:r>
          </w:p>
          <w:p w14:paraId="09D0A172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"/>
              </w:rPr>
              <w:t>分）</w:t>
            </w:r>
          </w:p>
        </w:tc>
        <w:tc>
          <w:tcPr>
            <w:tcW w:w="7089" w:type="dxa"/>
            <w:noWrap w:val="0"/>
            <w:vAlign w:val="center"/>
          </w:tcPr>
          <w:p w14:paraId="19B7A364">
            <w:pPr>
              <w:snapToGrid w:val="0"/>
              <w:spacing w:line="240" w:lineRule="atLeas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"/>
              </w:rPr>
              <w:t xml:space="preserve">根据投标人响应文件提供的运维服务实施方案（包括对项目的理解、投入人员力量、运维目标、运维内容、运维服务计划）进行评审： </w:t>
            </w:r>
          </w:p>
          <w:p w14:paraId="231F8856">
            <w:pPr>
              <w:snapToGrid w:val="0"/>
              <w:spacing w:line="240" w:lineRule="atLeas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"/>
              </w:rPr>
              <w:t>优：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" w:eastAsia="zh-CN"/>
              </w:rPr>
              <w:t>实施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"/>
              </w:rPr>
              <w:t>方案技术可行，内容完整，针对性强，完全满足招标需求，得20分；</w:t>
            </w:r>
          </w:p>
          <w:p w14:paraId="4CBB0B37">
            <w:pPr>
              <w:snapToGrid w:val="0"/>
              <w:spacing w:line="240" w:lineRule="atLeas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"/>
              </w:rPr>
              <w:t>良：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" w:eastAsia="zh-CN"/>
              </w:rPr>
              <w:t>实施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"/>
              </w:rPr>
              <w:t>方案技术较可行，内容较完整，针对性较强，能够满足招标需求，得1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"/>
              </w:rPr>
              <w:t>分；</w:t>
            </w:r>
          </w:p>
          <w:p w14:paraId="19629693">
            <w:pPr>
              <w:snapToGrid w:val="0"/>
              <w:spacing w:line="240" w:lineRule="atLeas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"/>
              </w:rPr>
              <w:t>中：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" w:eastAsia="zh-CN"/>
              </w:rPr>
              <w:t>实施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"/>
              </w:rPr>
              <w:t>方案一般，技术基本可行，内容基本完整，针对性一般，基本满足招标需求，得10分；</w:t>
            </w:r>
          </w:p>
          <w:p w14:paraId="6C091028">
            <w:pPr>
              <w:snapToGrid w:val="0"/>
              <w:spacing w:line="240" w:lineRule="atLeas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"/>
              </w:rPr>
              <w:t>差：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" w:eastAsia="zh-CN"/>
              </w:rPr>
              <w:t>实施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"/>
              </w:rPr>
              <w:t>方案差，技术基本不可行，内容缺失，针对性差，不能满足招标需求，得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"/>
              </w:rPr>
              <w:t>分。</w:t>
            </w:r>
          </w:p>
          <w:p w14:paraId="10B54DD1">
            <w:pPr>
              <w:snapToGrid w:val="0"/>
              <w:spacing w:line="240" w:lineRule="atLeas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"/>
              </w:rPr>
              <w:t>注：未提供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" w:eastAsia="zh-CN"/>
              </w:rPr>
              <w:t>实施方案的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"/>
              </w:rPr>
              <w:t>得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"/>
              </w:rPr>
              <w:t>分。</w:t>
            </w:r>
          </w:p>
        </w:tc>
        <w:tc>
          <w:tcPr>
            <w:tcW w:w="520" w:type="dxa"/>
            <w:noWrap w:val="0"/>
            <w:vAlign w:val="center"/>
          </w:tcPr>
          <w:p w14:paraId="2A85F4BF">
            <w:pPr>
              <w:pStyle w:val="9"/>
              <w:spacing w:line="360" w:lineRule="exact"/>
              <w:ind w:firstLine="0" w:firstLineChars="0"/>
              <w:jc w:val="center"/>
              <w:rPr>
                <w:rFonts w:ascii="Times New Roman" w:hAnsi="Times New Roman" w:eastAsia="仿宋"/>
                <w:color w:val="auto"/>
                <w:sz w:val="24"/>
                <w:szCs w:val="24"/>
              </w:rPr>
            </w:pPr>
          </w:p>
        </w:tc>
      </w:tr>
      <w:tr w14:paraId="71366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22" w:hRule="atLeast"/>
          <w:jc w:val="center"/>
        </w:trPr>
        <w:tc>
          <w:tcPr>
            <w:tcW w:w="662" w:type="dxa"/>
            <w:noWrap w:val="0"/>
            <w:vAlign w:val="center"/>
          </w:tcPr>
          <w:p w14:paraId="27DE81A3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430" w:type="dxa"/>
            <w:noWrap w:val="0"/>
            <w:vAlign w:val="center"/>
          </w:tcPr>
          <w:p w14:paraId="7E1D8D36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" w:eastAsia="zh-CN"/>
              </w:rPr>
              <w:t>安全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"/>
              </w:rPr>
              <w:t>保障措施（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"/>
              </w:rPr>
              <w:t>分）</w:t>
            </w:r>
          </w:p>
        </w:tc>
        <w:tc>
          <w:tcPr>
            <w:tcW w:w="7089" w:type="dxa"/>
            <w:noWrap w:val="0"/>
            <w:vAlign w:val="center"/>
          </w:tcPr>
          <w:p w14:paraId="2E45BADD">
            <w:pPr>
              <w:snapToGrid w:val="0"/>
              <w:spacing w:line="240" w:lineRule="atLeas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"/>
              </w:rPr>
              <w:t>针对系统网络和数据安全：</w:t>
            </w:r>
          </w:p>
          <w:p w14:paraId="64402D6B">
            <w:pPr>
              <w:snapToGrid w:val="0"/>
              <w:spacing w:line="240" w:lineRule="atLeas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"/>
              </w:rPr>
              <w:t>建立了完善的安全管理机制，提出详尽的安全解决方案，安全保障措施具体、详细，可行性高，得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"/>
              </w:rPr>
              <w:t>分；</w:t>
            </w:r>
          </w:p>
          <w:p w14:paraId="20665903">
            <w:pPr>
              <w:snapToGrid w:val="0"/>
              <w:spacing w:line="240" w:lineRule="atLeas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"/>
              </w:rPr>
              <w:t>建立了较为完善的安全管理机制，提出较为详尽的安全解决方案，安全保障措施比较具体、详细，可行性较高，得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"/>
              </w:rPr>
              <w:t>分；</w:t>
            </w:r>
          </w:p>
          <w:p w14:paraId="521727E2">
            <w:pPr>
              <w:snapToGrid w:val="0"/>
              <w:spacing w:line="240" w:lineRule="atLeas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"/>
              </w:rPr>
              <w:t>建立了安全管理机制，提出安全解决方案，安全保障措施一般，基本可行，得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"/>
              </w:rPr>
              <w:t>分；</w:t>
            </w:r>
          </w:p>
          <w:p w14:paraId="7665FAB8">
            <w:pPr>
              <w:snapToGrid w:val="0"/>
              <w:spacing w:line="240" w:lineRule="atLeas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"/>
              </w:rPr>
              <w:t>建立了安全管理机制，提出安全解决方案，安全保障措施不具体，可行性较低，得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"/>
              </w:rPr>
              <w:t>分；</w:t>
            </w:r>
          </w:p>
          <w:p w14:paraId="0CB6D4D5">
            <w:pPr>
              <w:snapToGrid w:val="0"/>
              <w:spacing w:line="240" w:lineRule="atLeas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" w:eastAsia="zh-CN"/>
              </w:rPr>
              <w:t>注：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"/>
              </w:rPr>
              <w:t>未提供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" w:eastAsia="zh-CN"/>
              </w:rPr>
              <w:t>安全保障措施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"/>
              </w:rPr>
              <w:t>的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" w:eastAsia="zh-CN"/>
              </w:rPr>
              <w:t>得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"/>
              </w:rPr>
              <w:t>分。</w:t>
            </w:r>
          </w:p>
        </w:tc>
        <w:tc>
          <w:tcPr>
            <w:tcW w:w="520" w:type="dxa"/>
            <w:noWrap w:val="0"/>
            <w:vAlign w:val="center"/>
          </w:tcPr>
          <w:p w14:paraId="42BA4239">
            <w:pPr>
              <w:pStyle w:val="6"/>
              <w:snapToGrid w:val="0"/>
              <w:ind w:firstLine="480" w:firstLineChars="0"/>
              <w:jc w:val="center"/>
              <w:rPr>
                <w:rFonts w:ascii="Times New Roman" w:hAnsi="Times New Roman" w:eastAsia="仿宋"/>
                <w:color w:val="auto"/>
                <w:sz w:val="24"/>
                <w:szCs w:val="24"/>
              </w:rPr>
            </w:pPr>
          </w:p>
        </w:tc>
      </w:tr>
      <w:tr w14:paraId="66B40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4" w:hRule="atLeast"/>
          <w:jc w:val="center"/>
        </w:trPr>
        <w:tc>
          <w:tcPr>
            <w:tcW w:w="662" w:type="dxa"/>
            <w:noWrap w:val="0"/>
            <w:vAlign w:val="center"/>
          </w:tcPr>
          <w:p w14:paraId="00952D9A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430" w:type="dxa"/>
            <w:noWrap w:val="0"/>
            <w:vAlign w:val="center"/>
          </w:tcPr>
          <w:p w14:paraId="5625E9D9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"/>
              </w:rPr>
              <w:t>投标人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" w:eastAsia="zh-CN"/>
              </w:rPr>
              <w:t>认证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"/>
              </w:rPr>
              <w:t>情况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" w:eastAsia="zh-CN"/>
              </w:rPr>
              <w:t>（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"/>
              </w:rPr>
              <w:t>分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" w:eastAsia="zh-CN"/>
              </w:rPr>
              <w:t>）</w:t>
            </w:r>
          </w:p>
        </w:tc>
        <w:tc>
          <w:tcPr>
            <w:tcW w:w="7089" w:type="dxa"/>
            <w:noWrap w:val="0"/>
            <w:vAlign w:val="center"/>
          </w:tcPr>
          <w:p w14:paraId="0E8D8361"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"/>
              </w:rPr>
              <w:t>具备ISO9001质量管理体系认证证书的得5分；</w:t>
            </w:r>
          </w:p>
          <w:p w14:paraId="5FC70736"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"/>
              </w:rPr>
              <w:t>本项最高得分5分。</w:t>
            </w:r>
          </w:p>
          <w:p w14:paraId="46EFDBDB"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"/>
              </w:rPr>
              <w:t>注：须提供以上证书证明材料复印件，并加盖公章，不提供的不得分。</w:t>
            </w:r>
          </w:p>
        </w:tc>
        <w:tc>
          <w:tcPr>
            <w:tcW w:w="520" w:type="dxa"/>
            <w:noWrap w:val="0"/>
            <w:vAlign w:val="center"/>
          </w:tcPr>
          <w:p w14:paraId="3251458A">
            <w:pPr>
              <w:pStyle w:val="6"/>
              <w:snapToGrid w:val="0"/>
              <w:ind w:firstLine="480"/>
              <w:jc w:val="center"/>
              <w:rPr>
                <w:rFonts w:ascii="Times New Roman" w:hAnsi="Times New Roman" w:eastAsia="仿宋"/>
                <w:color w:val="auto"/>
                <w:sz w:val="24"/>
                <w:szCs w:val="24"/>
              </w:rPr>
            </w:pPr>
          </w:p>
        </w:tc>
      </w:tr>
      <w:tr w14:paraId="17275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2" w:hRule="atLeast"/>
          <w:jc w:val="center"/>
        </w:trPr>
        <w:tc>
          <w:tcPr>
            <w:tcW w:w="662" w:type="dxa"/>
            <w:noWrap w:val="0"/>
            <w:vAlign w:val="center"/>
          </w:tcPr>
          <w:p w14:paraId="49EA1793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430" w:type="dxa"/>
            <w:noWrap w:val="0"/>
            <w:vAlign w:val="center"/>
          </w:tcPr>
          <w:p w14:paraId="724C708B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"/>
              </w:rPr>
              <w:t>投标人服务能力（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"/>
              </w:rPr>
              <w:t>分）</w:t>
            </w:r>
          </w:p>
        </w:tc>
        <w:tc>
          <w:tcPr>
            <w:tcW w:w="7089" w:type="dxa"/>
            <w:noWrap w:val="0"/>
            <w:vAlign w:val="center"/>
          </w:tcPr>
          <w:p w14:paraId="111D74A4"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"/>
              </w:rPr>
              <w:t>投标人获得相关软件著作权证书，每提供一份得5分，最高得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"/>
              </w:rPr>
              <w:t>分。</w:t>
            </w:r>
          </w:p>
          <w:p w14:paraId="3AD937D3"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"/>
              </w:rPr>
              <w:t>注：须提供以上证明材料复印件，并加盖公章，不提供的不得分。</w:t>
            </w:r>
          </w:p>
        </w:tc>
        <w:tc>
          <w:tcPr>
            <w:tcW w:w="520" w:type="dxa"/>
            <w:noWrap w:val="0"/>
            <w:vAlign w:val="center"/>
          </w:tcPr>
          <w:p w14:paraId="23577AD6">
            <w:pPr>
              <w:pStyle w:val="6"/>
              <w:snapToGrid w:val="0"/>
              <w:ind w:firstLine="480"/>
              <w:jc w:val="center"/>
              <w:rPr>
                <w:rFonts w:ascii="Times New Roman" w:hAnsi="Times New Roman" w:eastAsia="仿宋"/>
                <w:color w:val="auto"/>
                <w:sz w:val="24"/>
                <w:szCs w:val="24"/>
              </w:rPr>
            </w:pPr>
          </w:p>
        </w:tc>
      </w:tr>
      <w:tr w14:paraId="05755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1" w:hRule="atLeast"/>
          <w:jc w:val="center"/>
        </w:trPr>
        <w:tc>
          <w:tcPr>
            <w:tcW w:w="662" w:type="dxa"/>
            <w:noWrap w:val="0"/>
            <w:vAlign w:val="center"/>
          </w:tcPr>
          <w:p w14:paraId="6CC9CC2C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430" w:type="dxa"/>
            <w:noWrap w:val="0"/>
            <w:vAlign w:val="center"/>
          </w:tcPr>
          <w:p w14:paraId="4B7154CD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"/>
              </w:rPr>
              <w:t>参与本项目工作人员情况（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"/>
              </w:rPr>
              <w:t>分）</w:t>
            </w:r>
          </w:p>
        </w:tc>
        <w:tc>
          <w:tcPr>
            <w:tcW w:w="7089" w:type="dxa"/>
            <w:noWrap w:val="0"/>
            <w:vAlign w:val="center"/>
          </w:tcPr>
          <w:p w14:paraId="151B87BB">
            <w:pPr>
              <w:numPr>
                <w:ilvl w:val="0"/>
                <w:numId w:val="0"/>
              </w:numPr>
              <w:snapToGrid w:val="0"/>
              <w:spacing w:line="240" w:lineRule="atLeas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val="en" w:eastAsia="zh-CN"/>
              </w:rPr>
              <w:t>（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val="en"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"/>
              </w:rPr>
              <w:t>投标人为本项目配备负责人1人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val="en"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"/>
              </w:rPr>
              <w:t>具有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val="en" w:eastAsia="zh-CN"/>
              </w:rPr>
              <w:t>相关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"/>
              </w:rPr>
              <w:t>专业高级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" w:eastAsia="zh-CN"/>
              </w:rPr>
              <w:t>或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"/>
              </w:rPr>
              <w:t>以上职称的得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"/>
              </w:rPr>
              <w:t>分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val="en"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"/>
              </w:rPr>
              <w:t>具有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val="en" w:eastAsia="zh-CN"/>
              </w:rPr>
              <w:t>相关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"/>
              </w:rPr>
              <w:t>专业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val="en" w:eastAsia="zh-CN"/>
              </w:rPr>
              <w:t>中级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"/>
              </w:rPr>
              <w:t>职称的得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"/>
              </w:rPr>
              <w:t>分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val="en" w:eastAsia="zh-CN"/>
              </w:rPr>
              <w:t>。本项最高得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/>
              </w:rPr>
              <w:t>分。</w:t>
            </w:r>
          </w:p>
          <w:p w14:paraId="2AC87A86">
            <w:pPr>
              <w:snapToGrid w:val="0"/>
              <w:spacing w:line="240" w:lineRule="atLeast"/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"/>
              </w:rPr>
              <w:t>（2）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"/>
              </w:rPr>
              <w:t>拟投入本项目的技术团队（项目负责人除外）情况：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" w:eastAsia="zh-CN"/>
              </w:rPr>
              <w:t>①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"/>
              </w:rPr>
              <w:t>针对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" w:eastAsia="zh-CN"/>
              </w:rPr>
              <w:t>系统维护和功能优化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"/>
              </w:rPr>
              <w:t>服务方面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"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"/>
              </w:rPr>
              <w:t>技术团队中具有计算机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" w:eastAsia="zh-CN"/>
              </w:rPr>
              <w:t>、环境管理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"/>
              </w:rPr>
              <w:t>等相关专业中级职称的，每人得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"/>
              </w:rPr>
              <w:t>分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"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"/>
              </w:rPr>
              <w:t>具有计算机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" w:eastAsia="zh-CN"/>
              </w:rPr>
              <w:t>、环境管理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"/>
              </w:rPr>
              <w:t>等相关专业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" w:eastAsia="zh-CN"/>
              </w:rPr>
              <w:t>高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"/>
              </w:rPr>
              <w:t>级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" w:eastAsia="zh-CN"/>
              </w:rPr>
              <w:t>或以上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"/>
              </w:rPr>
              <w:t>职称的，每人得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"/>
              </w:rPr>
              <w:t>分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" w:eastAsia="zh-CN"/>
              </w:rPr>
              <w:t>；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" w:eastAsia="zh-CN"/>
              </w:rPr>
              <w:t>其他情况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"/>
              </w:rPr>
              <w:t>不得分，本小项最高得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"/>
              </w:rPr>
              <w:t>分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" w:eastAsia="zh-CN"/>
              </w:rPr>
              <w:t>。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②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"/>
              </w:rPr>
              <w:t>针对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" w:eastAsia="zh-CN"/>
              </w:rPr>
              <w:t>现场数据采集传输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"/>
              </w:rPr>
              <w:t>服务方面：技术团队中具有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" w:eastAsia="zh-CN"/>
              </w:rPr>
              <w:t>污染源自动监测设备维护等相关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"/>
              </w:rPr>
              <w:t>工作经验的，每提供一个得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"/>
              </w:rPr>
              <w:t>分，本小项最高得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"/>
              </w:rPr>
              <w:t>分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" w:eastAsia="zh-CN"/>
              </w:rPr>
              <w:t>。</w:t>
            </w:r>
          </w:p>
          <w:p w14:paraId="26CEB2D2">
            <w:pPr>
              <w:snapToGrid w:val="0"/>
              <w:spacing w:line="240" w:lineRule="atLeas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" w:eastAsia="zh-CN" w:bidi="ar-SA"/>
              </w:rPr>
              <w:t>注：上述人员不得重复，同一人具备多项职称不可重复计分，以最高职称计算。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"/>
              </w:rPr>
              <w:t>须提供上述（1）（2）人员相应技术职称证书复印件，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" w:eastAsia="zh-CN"/>
              </w:rPr>
              <w:t>最近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3个月任意1个月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"/>
              </w:rPr>
              <w:t>在该供应商单位缴纳的社保证明复印件并加盖公章。</w:t>
            </w:r>
          </w:p>
        </w:tc>
        <w:tc>
          <w:tcPr>
            <w:tcW w:w="520" w:type="dxa"/>
            <w:noWrap w:val="0"/>
            <w:vAlign w:val="center"/>
          </w:tcPr>
          <w:p w14:paraId="0B8AD221">
            <w:pPr>
              <w:pStyle w:val="6"/>
              <w:snapToGrid w:val="0"/>
              <w:ind w:firstLine="480"/>
              <w:jc w:val="center"/>
              <w:rPr>
                <w:rFonts w:ascii="Times New Roman" w:hAnsi="Times New Roman" w:eastAsia="仿宋"/>
                <w:color w:val="auto"/>
                <w:sz w:val="24"/>
                <w:szCs w:val="24"/>
              </w:rPr>
            </w:pPr>
          </w:p>
        </w:tc>
      </w:tr>
      <w:tr w14:paraId="04C1F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6" w:hRule="atLeast"/>
          <w:jc w:val="center"/>
        </w:trPr>
        <w:tc>
          <w:tcPr>
            <w:tcW w:w="662" w:type="dxa"/>
            <w:noWrap w:val="0"/>
            <w:vAlign w:val="center"/>
          </w:tcPr>
          <w:p w14:paraId="25D9FB36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430" w:type="dxa"/>
            <w:noWrap w:val="0"/>
            <w:vAlign w:val="center"/>
          </w:tcPr>
          <w:p w14:paraId="5B8346D5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"/>
              </w:rPr>
              <w:t>同类项目业绩（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"/>
              </w:rPr>
              <w:t>分）</w:t>
            </w:r>
          </w:p>
        </w:tc>
        <w:tc>
          <w:tcPr>
            <w:tcW w:w="7089" w:type="dxa"/>
            <w:noWrap w:val="0"/>
            <w:vAlign w:val="center"/>
          </w:tcPr>
          <w:p w14:paraId="399D9E51"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" w:eastAsia="zh-CN"/>
              </w:rPr>
              <w:t>（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"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"/>
              </w:rPr>
              <w:t>投标人承接过信息系统维护项目的，每提供一份业绩合同得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"/>
              </w:rPr>
              <w:t>分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" w:eastAsia="zh-CN"/>
              </w:rPr>
              <w:t>。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val="en" w:eastAsia="zh-CN"/>
              </w:rPr>
              <w:t>本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" w:eastAsia="zh-CN"/>
              </w:rPr>
              <w:t>小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val="en" w:eastAsia="zh-CN"/>
              </w:rPr>
              <w:t>项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"/>
              </w:rPr>
              <w:t>最高得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"/>
              </w:rPr>
              <w:t>分。</w:t>
            </w:r>
          </w:p>
          <w:p w14:paraId="6804CEFD">
            <w:pPr>
              <w:snapToGrid w:val="0"/>
              <w:jc w:val="left"/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" w:eastAsia="zh-CN"/>
              </w:rPr>
              <w:t>（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" w:eastAsia="zh-CN"/>
              </w:rPr>
              <w:t>）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val="en" w:eastAsia="zh-CN"/>
              </w:rPr>
              <w:t>投标人承接过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" w:eastAsia="zh-CN"/>
              </w:rPr>
              <w:t>污染源自动监测设备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val="en" w:eastAsia="zh-CN"/>
              </w:rPr>
              <w:t>维护项目的，每提供一份业绩合同得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val="en" w:eastAsia="zh-CN"/>
              </w:rPr>
              <w:t>分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" w:eastAsia="zh-CN"/>
              </w:rPr>
              <w:t>。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val="en" w:eastAsia="zh-CN"/>
              </w:rPr>
              <w:t>本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" w:eastAsia="zh-CN"/>
              </w:rPr>
              <w:t>小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val="en" w:eastAsia="zh-CN"/>
              </w:rPr>
              <w:t>项最高得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val="en" w:eastAsia="zh-CN"/>
              </w:rPr>
              <w:t>分。</w:t>
            </w:r>
          </w:p>
          <w:p w14:paraId="4EE1BAAA"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"/>
              </w:rPr>
              <w:t>注：提供加盖公章的合同关键信息（含签订合同双方的单位名称、合同项目名称、服务内容与含签订合同双方的落款盖章、签订日期的关键页）复印件作为得分依据。</w:t>
            </w:r>
          </w:p>
        </w:tc>
        <w:tc>
          <w:tcPr>
            <w:tcW w:w="520" w:type="dxa"/>
            <w:noWrap w:val="0"/>
            <w:vAlign w:val="center"/>
          </w:tcPr>
          <w:p w14:paraId="4C7DA29E">
            <w:pPr>
              <w:pStyle w:val="6"/>
              <w:snapToGrid w:val="0"/>
              <w:ind w:firstLine="480"/>
              <w:jc w:val="center"/>
              <w:rPr>
                <w:rFonts w:ascii="Times New Roman" w:hAnsi="Times New Roman" w:eastAsia="仿宋"/>
                <w:color w:val="auto"/>
                <w:sz w:val="24"/>
                <w:szCs w:val="24"/>
              </w:rPr>
            </w:pPr>
          </w:p>
        </w:tc>
      </w:tr>
      <w:tr w14:paraId="11976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  <w:jc w:val="center"/>
        </w:trPr>
        <w:tc>
          <w:tcPr>
            <w:tcW w:w="2092" w:type="dxa"/>
            <w:gridSpan w:val="2"/>
            <w:noWrap w:val="0"/>
            <w:vAlign w:val="center"/>
          </w:tcPr>
          <w:p w14:paraId="7F0918ED"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"/>
              </w:rPr>
              <w:t>综合得分</w:t>
            </w:r>
          </w:p>
        </w:tc>
        <w:tc>
          <w:tcPr>
            <w:tcW w:w="7089" w:type="dxa"/>
            <w:noWrap w:val="0"/>
            <w:vAlign w:val="center"/>
          </w:tcPr>
          <w:p w14:paraId="18C99D46">
            <w:pPr>
              <w:pStyle w:val="6"/>
              <w:spacing w:line="48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"/>
              </w:rPr>
              <w:t>——</w:t>
            </w:r>
          </w:p>
        </w:tc>
        <w:tc>
          <w:tcPr>
            <w:tcW w:w="520" w:type="dxa"/>
            <w:noWrap w:val="0"/>
            <w:vAlign w:val="center"/>
          </w:tcPr>
          <w:p w14:paraId="2002896A">
            <w:pPr>
              <w:pStyle w:val="4"/>
              <w:snapToGrid w:val="0"/>
              <w:spacing w:line="240" w:lineRule="auto"/>
              <w:ind w:firstLine="480"/>
              <w:jc w:val="center"/>
              <w:rPr>
                <w:rFonts w:ascii="Times New Roman" w:hAnsi="Times New Roman" w:eastAsia="仿宋" w:cs="Times New Roman"/>
                <w:color w:val="auto"/>
                <w:szCs w:val="24"/>
              </w:rPr>
            </w:pPr>
          </w:p>
        </w:tc>
      </w:tr>
    </w:tbl>
    <w:p w14:paraId="15026D95">
      <w:pPr>
        <w:widowControl/>
        <w:shd w:val="clear" w:color="auto" w:fill="FFFFFF"/>
        <w:spacing w:line="560" w:lineRule="exact"/>
        <w:jc w:val="both"/>
        <w:rPr>
          <w:rFonts w:hint="default" w:ascii="Times New Roman" w:hAnsi="Times New Roman" w:eastAsia="宋体" w:cs="Times New Roman"/>
          <w:b/>
          <w:color w:val="auto"/>
          <w:sz w:val="28"/>
          <w:szCs w:val="22"/>
        </w:rPr>
      </w:pPr>
      <w:r>
        <w:rPr>
          <w:rFonts w:hint="default" w:ascii="Times New Roman" w:hAnsi="Times New Roman" w:eastAsia="宋体" w:cs="Times New Roman"/>
          <w:b/>
          <w:color w:val="auto"/>
          <w:sz w:val="28"/>
          <w:szCs w:val="22"/>
        </w:rPr>
        <w:t>注：请投标人在投标文件中标注以上评分项目证明资料对应的页码。</w:t>
      </w:r>
    </w:p>
    <w:p w14:paraId="3ABE919D">
      <w:pPr>
        <w:rPr>
          <w:color w:val="auto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D37DFE"/>
    <w:rsid w:val="23D37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3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kern w:val="0"/>
      <w:sz w:val="24"/>
      <w:szCs w:val="24"/>
      <w:lang w:val="en-US" w:eastAsia="zh-CN" w:bidi="ar-SA"/>
    </w:rPr>
  </w:style>
  <w:style w:type="paragraph" w:styleId="3">
    <w:name w:val="index 5"/>
    <w:basedOn w:val="1"/>
    <w:next w:val="1"/>
    <w:semiHidden/>
    <w:qFormat/>
    <w:uiPriority w:val="0"/>
    <w:pPr>
      <w:ind w:left="1680"/>
    </w:pPr>
    <w:rPr>
      <w:rFonts w:eastAsia="Times New Roman"/>
      <w:sz w:val="32"/>
    </w:rPr>
  </w:style>
  <w:style w:type="paragraph" w:styleId="4">
    <w:name w:val="Normal Indent"/>
    <w:basedOn w:val="1"/>
    <w:next w:val="5"/>
    <w:qFormat/>
    <w:uiPriority w:val="0"/>
    <w:pPr>
      <w:spacing w:line="360" w:lineRule="auto"/>
      <w:ind w:firstLine="200" w:firstLineChars="200"/>
    </w:pPr>
    <w:rPr>
      <w:rFonts w:ascii="Times New Roman" w:hAnsi="Times New Roman"/>
      <w:snapToGrid w:val="0"/>
      <w:kern w:val="0"/>
      <w:sz w:val="24"/>
      <w:szCs w:val="20"/>
      <w:lang w:val="zh-CN"/>
    </w:rPr>
  </w:style>
  <w:style w:type="paragraph" w:styleId="5">
    <w:name w:val="Body Text"/>
    <w:basedOn w:val="1"/>
    <w:unhideWhenUsed/>
    <w:qFormat/>
    <w:uiPriority w:val="99"/>
    <w:pPr>
      <w:spacing w:after="120"/>
    </w:pPr>
  </w:style>
  <w:style w:type="paragraph" w:styleId="6">
    <w:name w:val="Plain Text"/>
    <w:basedOn w:val="1"/>
    <w:qFormat/>
    <w:uiPriority w:val="0"/>
    <w:rPr>
      <w:rFonts w:ascii="宋体" w:hAnsi="Courier New" w:eastAsia="宋体" w:cs="Times New Roman"/>
    </w:rPr>
  </w:style>
  <w:style w:type="paragraph" w:customStyle="1" w:styleId="9">
    <w:name w:val="正文缩进2格"/>
    <w:basedOn w:val="1"/>
    <w:next w:val="1"/>
    <w:qFormat/>
    <w:uiPriority w:val="99"/>
    <w:pPr>
      <w:spacing w:line="600" w:lineRule="exact"/>
      <w:ind w:firstLine="639" w:firstLineChars="206"/>
    </w:pPr>
    <w:rPr>
      <w:rFonts w:ascii="仿宋_GB2312" w:hAnsi="宋体" w:eastAsia="仿宋_GB2312" w:cs="Times New Roman"/>
      <w:sz w:val="3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2026-06-23T03:54:00Z</dcterms:created>
  <dc:creator>李耀明</dc:creator>
  <cp:lastModifiedBy>李耀明</cp:lastModifiedBy>
  <dcterms:modified xsi:type="dcterms:W3CDTF">2026-06-23T03:54:44Z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1AA47D73D7AB4F809E0BC2CD03E944EE_11</vt:lpwstr>
  </property>
  <property fmtid="{D5CDD505-2E9C-101B-9397-08002B2CF9AE}" pid="4" name="KSOTemplateDocerSaveRecord">
    <vt:lpwstr>eyJoZGlkIjoiMDM3NGU3YmU1ODYyYjdmN2E3ZWRhMmM0MjY3M2IwZTIiLCJ1c2VySWQiOiIzNDIwMDI0OTEifQ==</vt:lpwstr>
  </property>
</Properties>
</file>