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eastAsia="方正仿宋_GBK"/>
          <w:bCs/>
          <w:sz w:val="44"/>
          <w:szCs w:val="44"/>
          <w:lang w:val="en-US" w:eastAsia="zh-CN"/>
        </w:rPr>
      </w:pPr>
      <w:r>
        <w:rPr>
          <w:rFonts w:eastAsia="方正仿宋_GBK"/>
          <w:sz w:val="32"/>
          <w:szCs w:val="32"/>
        </w:rPr>
        <w:t>附件</w:t>
      </w:r>
      <w:r>
        <w:rPr>
          <w:rFonts w:hint="eastAsia" w:eastAsia="方正仿宋_GBK"/>
          <w:sz w:val="32"/>
          <w:szCs w:val="32"/>
          <w:lang w:val="en-US" w:eastAsia="zh-CN"/>
        </w:rPr>
        <w:t>3</w:t>
      </w:r>
      <w:bookmarkStart w:id="2" w:name="_GoBack"/>
      <w:bookmarkEnd w:id="2"/>
    </w:p>
    <w:p>
      <w:pPr>
        <w:adjustRightInd w:val="0"/>
        <w:snapToGrid w:val="0"/>
        <w:spacing w:line="560" w:lineRule="exact"/>
        <w:jc w:val="center"/>
        <w:rPr>
          <w:rFonts w:ascii="方正公文小标宋" w:hAnsi="方正公文小标宋" w:eastAsia="方正公文小标宋" w:cs="方正公文小标宋"/>
          <w:bCs/>
          <w:sz w:val="44"/>
          <w:szCs w:val="44"/>
        </w:rPr>
      </w:pPr>
    </w:p>
    <w:p>
      <w:pPr>
        <w:spacing w:line="560" w:lineRule="exact"/>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世界青年技能日暨粤港澳（江门）技能嘉年华交流系列活动项目</w:t>
      </w:r>
    </w:p>
    <w:p>
      <w:pPr>
        <w:spacing w:line="560" w:lineRule="exact"/>
        <w:jc w:val="center"/>
        <w:rPr>
          <w:rFonts w:eastAsia="仿宋_GB2312"/>
          <w:sz w:val="32"/>
          <w:szCs w:val="32"/>
        </w:rPr>
      </w:pPr>
      <w:r>
        <w:rPr>
          <w:rFonts w:hint="eastAsia" w:ascii="方正公文小标宋" w:hAnsi="方正公文小标宋" w:eastAsia="方正公文小标宋" w:cs="方正公文小标宋"/>
          <w:bCs/>
          <w:sz w:val="44"/>
          <w:szCs w:val="44"/>
        </w:rPr>
        <w:t>择优比选评分标准</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5"/>
        <w:tblW w:w="14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056"/>
        <w:gridCol w:w="10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30"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3056"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10293"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9"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1</w:t>
            </w:r>
          </w:p>
        </w:tc>
        <w:tc>
          <w:tcPr>
            <w:tcW w:w="3056" w:type="dxa"/>
            <w:vAlign w:val="center"/>
          </w:tcPr>
          <w:p>
            <w:pPr>
              <w:spacing w:line="460" w:lineRule="exact"/>
              <w:rPr>
                <w:rFonts w:eastAsia="方正仿宋_GBK"/>
                <w:sz w:val="28"/>
                <w:szCs w:val="28"/>
              </w:rPr>
            </w:pPr>
            <w:r>
              <w:rPr>
                <w:rFonts w:eastAsia="方正仿宋_GBK"/>
                <w:sz w:val="28"/>
                <w:szCs w:val="28"/>
              </w:rPr>
              <w:t>具有独立承担民事责任的能力</w:t>
            </w:r>
          </w:p>
        </w:tc>
        <w:tc>
          <w:tcPr>
            <w:tcW w:w="10293" w:type="dxa"/>
          </w:tcPr>
          <w:p>
            <w:pPr>
              <w:spacing w:line="460" w:lineRule="exact"/>
              <w:jc w:val="left"/>
              <w:rPr>
                <w:rFonts w:eastAsia="方正仿宋_GBK"/>
                <w:sz w:val="28"/>
                <w:szCs w:val="28"/>
              </w:rPr>
            </w:pPr>
            <w:r>
              <w:rPr>
                <w:rFonts w:eastAsia="方正仿宋_GBK"/>
                <w:spacing w:val="-3"/>
                <w:sz w:val="28"/>
                <w:szCs w:val="28"/>
              </w:rPr>
              <w:t>提供在中华人民共和国境内注册的法人或其他组织</w:t>
            </w:r>
            <w:r>
              <w:rPr>
                <w:rFonts w:eastAsia="方正仿宋_GBK"/>
                <w:spacing w:val="1"/>
                <w:sz w:val="28"/>
                <w:szCs w:val="28"/>
              </w:rPr>
              <w:t>的营业执照或事业单位法人证书或社会团体法人登记证书复印件，如投标人为自然</w:t>
            </w:r>
            <w:r>
              <w:rPr>
                <w:rFonts w:eastAsia="方正仿宋_GBK"/>
                <w:spacing w:val="-3"/>
                <w:sz w:val="28"/>
                <w:szCs w:val="28"/>
              </w:rPr>
              <w:t>人的提供自然人身份证明复印件；如国家另有规定的，则从其规定。（分支机构投</w:t>
            </w:r>
            <w:r>
              <w:rPr>
                <w:rFonts w:eastAsia="方正仿宋_GBK"/>
                <w:spacing w:val="-2"/>
                <w:sz w:val="28"/>
                <w:szCs w:val="28"/>
              </w:rPr>
              <w:t>标，须取得具有法人资格的总公司（总所）出具给分支机构的授权书，并提供总公</w:t>
            </w:r>
            <w:r>
              <w:rPr>
                <w:rFonts w:eastAsia="方正仿宋_GBK"/>
                <w:spacing w:val="-6"/>
                <w:sz w:val="28"/>
                <w:szCs w:val="28"/>
              </w:rPr>
              <w:t>司（总所）和分支机构的营业执照（执业许可证）复印件</w:t>
            </w:r>
            <w:r>
              <w:rPr>
                <w:rFonts w:hint="eastAsia" w:eastAsia="方正仿宋_GBK"/>
                <w:spacing w:val="-6"/>
                <w:sz w:val="28"/>
                <w:szCs w:val="28"/>
              </w:rPr>
              <w:t>；</w:t>
            </w:r>
            <w:r>
              <w:rPr>
                <w:rFonts w:eastAsia="方正仿宋_GBK"/>
                <w:spacing w:val="-6"/>
                <w:sz w:val="28"/>
                <w:szCs w:val="28"/>
              </w:rPr>
              <w:t>已由总公司（总所）授</w:t>
            </w:r>
            <w:r>
              <w:rPr>
                <w:rFonts w:eastAsia="方正仿宋_GBK"/>
                <w:spacing w:val="-1"/>
                <w:sz w:val="28"/>
                <w:szCs w:val="28"/>
              </w:rPr>
              <w:t>权的，总公司（总所）取得的相关资质证书对分支机构有效，法律法规或者行业另</w:t>
            </w:r>
            <w:r>
              <w:rPr>
                <w:rFonts w:eastAsia="方正仿宋_GBK"/>
                <w:sz w:val="28"/>
                <w:szCs w:val="28"/>
              </w:rPr>
              <w:t>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2</w:t>
            </w:r>
          </w:p>
        </w:tc>
        <w:tc>
          <w:tcPr>
            <w:tcW w:w="3056" w:type="dxa"/>
            <w:vAlign w:val="center"/>
          </w:tcPr>
          <w:p>
            <w:pPr>
              <w:spacing w:line="460" w:lineRule="exact"/>
              <w:rPr>
                <w:rFonts w:eastAsia="方正仿宋_GBK"/>
                <w:sz w:val="28"/>
                <w:szCs w:val="28"/>
              </w:rPr>
            </w:pPr>
            <w:r>
              <w:rPr>
                <w:rFonts w:eastAsia="方正仿宋_GBK"/>
                <w:spacing w:val="1"/>
                <w:sz w:val="28"/>
                <w:szCs w:val="28"/>
              </w:rPr>
              <w:t>有依法缴纳税收和社会保障</w:t>
            </w:r>
            <w:r>
              <w:rPr>
                <w:rFonts w:eastAsia="方正仿宋_GBK"/>
                <w:spacing w:val="-1"/>
                <w:sz w:val="28"/>
                <w:szCs w:val="28"/>
              </w:rPr>
              <w:t>资金的良好记录</w:t>
            </w:r>
          </w:p>
        </w:tc>
        <w:tc>
          <w:tcPr>
            <w:tcW w:w="10293" w:type="dxa"/>
            <w:vAlign w:val="center"/>
          </w:tcPr>
          <w:p>
            <w:pPr>
              <w:spacing w:line="460" w:lineRule="exact"/>
              <w:jc w:val="left"/>
              <w:rPr>
                <w:rFonts w:eastAsia="方正仿宋_GBK"/>
                <w:sz w:val="28"/>
                <w:szCs w:val="28"/>
              </w:rPr>
            </w:pPr>
            <w:r>
              <w:rPr>
                <w:rFonts w:eastAsia="方正仿宋_GBK"/>
                <w:sz w:val="28"/>
                <w:szCs w:val="28"/>
              </w:rPr>
              <w:t>提供202</w:t>
            </w:r>
            <w:r>
              <w:rPr>
                <w:rFonts w:hint="eastAsia" w:eastAsia="方正仿宋_GBK"/>
                <w:sz w:val="28"/>
                <w:szCs w:val="28"/>
                <w:lang w:val="en-US" w:eastAsia="zh-CN"/>
              </w:rPr>
              <w:t>6</w:t>
            </w:r>
            <w:r>
              <w:rPr>
                <w:rFonts w:eastAsia="方正仿宋_GBK"/>
                <w:sz w:val="28"/>
                <w:szCs w:val="28"/>
              </w:rPr>
              <w:t>年1月至今任意1个月的依法缴纳税收和社会保障资金的相关材料复印件；如依法免税或不需要缴纳社会保障资金的，应当提供相应证明文件复印件</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3"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3</w:t>
            </w:r>
          </w:p>
        </w:tc>
        <w:tc>
          <w:tcPr>
            <w:tcW w:w="3056" w:type="dxa"/>
            <w:vAlign w:val="center"/>
          </w:tcPr>
          <w:p>
            <w:pPr>
              <w:spacing w:line="460" w:lineRule="exact"/>
              <w:rPr>
                <w:rFonts w:eastAsia="方正仿宋_GBK"/>
                <w:sz w:val="28"/>
                <w:szCs w:val="28"/>
              </w:rPr>
            </w:pPr>
            <w:r>
              <w:rPr>
                <w:rFonts w:eastAsia="方正仿宋_GBK"/>
                <w:sz w:val="28"/>
                <w:szCs w:val="28"/>
              </w:rPr>
              <w:t>具有良好的商业信誉和健全的财务会计制度</w:t>
            </w:r>
          </w:p>
        </w:tc>
        <w:tc>
          <w:tcPr>
            <w:tcW w:w="10293" w:type="dxa"/>
            <w:vAlign w:val="center"/>
          </w:tcPr>
          <w:p>
            <w:pPr>
              <w:spacing w:line="460" w:lineRule="exact"/>
              <w:jc w:val="left"/>
              <w:rPr>
                <w:rFonts w:eastAsia="方正仿宋_GBK"/>
                <w:sz w:val="28"/>
                <w:szCs w:val="28"/>
              </w:rPr>
            </w:pPr>
            <w:r>
              <w:rPr>
                <w:rFonts w:eastAsia="方正仿宋_GBK"/>
                <w:sz w:val="28"/>
                <w:szCs w:val="28"/>
              </w:rPr>
              <w:t>提供202</w:t>
            </w:r>
            <w:r>
              <w:rPr>
                <w:rFonts w:hint="eastAsia" w:eastAsia="方正仿宋_GBK"/>
                <w:sz w:val="28"/>
                <w:szCs w:val="28"/>
              </w:rPr>
              <w:t>5</w:t>
            </w:r>
            <w:r>
              <w:rPr>
                <w:rFonts w:eastAsia="方正仿宋_GBK"/>
                <w:sz w:val="28"/>
                <w:szCs w:val="28"/>
              </w:rPr>
              <w:t>年1月至今任意1个月的财务状况报告或银行出具的资信证明复印件</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30" w:type="dxa"/>
            <w:vAlign w:val="center"/>
          </w:tcPr>
          <w:p>
            <w:pPr>
              <w:spacing w:line="460" w:lineRule="exact"/>
              <w:jc w:val="center"/>
              <w:rPr>
                <w:rFonts w:eastAsia="方正仿宋_GBK"/>
                <w:spacing w:val="1"/>
                <w:sz w:val="28"/>
                <w:szCs w:val="28"/>
              </w:rPr>
            </w:pPr>
            <w:r>
              <w:rPr>
                <w:rFonts w:eastAsia="方正仿宋_GBK"/>
                <w:spacing w:val="1"/>
                <w:sz w:val="28"/>
                <w:szCs w:val="28"/>
              </w:rPr>
              <w:t>4</w:t>
            </w:r>
          </w:p>
        </w:tc>
        <w:tc>
          <w:tcPr>
            <w:tcW w:w="3056" w:type="dxa"/>
            <w:vAlign w:val="center"/>
          </w:tcPr>
          <w:p>
            <w:pPr>
              <w:spacing w:line="460" w:lineRule="exact"/>
              <w:rPr>
                <w:rFonts w:eastAsia="方正仿宋_GBK"/>
                <w:spacing w:val="1"/>
                <w:sz w:val="28"/>
                <w:szCs w:val="28"/>
              </w:rPr>
            </w:pPr>
            <w:r>
              <w:rPr>
                <w:rFonts w:eastAsia="方正仿宋_GBK"/>
                <w:spacing w:val="1"/>
                <w:sz w:val="28"/>
                <w:szCs w:val="28"/>
              </w:rPr>
              <w:t>履行合同所必须的设备和专业技术能力</w:t>
            </w:r>
          </w:p>
        </w:tc>
        <w:tc>
          <w:tcPr>
            <w:tcW w:w="10293" w:type="dxa"/>
            <w:vAlign w:val="center"/>
          </w:tcPr>
          <w:p>
            <w:pPr>
              <w:spacing w:line="460" w:lineRule="exact"/>
              <w:jc w:val="left"/>
              <w:rPr>
                <w:rFonts w:eastAsia="方正仿宋_GBK"/>
                <w:sz w:val="28"/>
                <w:szCs w:val="28"/>
              </w:rPr>
            </w:pPr>
            <w:bookmarkStart w:id="0" w:name="OLE_LINK2"/>
            <w:r>
              <w:rPr>
                <w:rFonts w:eastAsia="方正仿宋_GBK"/>
                <w:sz w:val="28"/>
                <w:szCs w:val="28"/>
              </w:rPr>
              <w:t>提供</w:t>
            </w:r>
            <w:r>
              <w:rPr>
                <w:rFonts w:eastAsia="方正仿宋_GBK"/>
                <w:spacing w:val="-2"/>
                <w:sz w:val="28"/>
                <w:szCs w:val="28"/>
              </w:rPr>
              <w:t>《关于供应商资格的声明函》</w:t>
            </w:r>
            <w:bookmarkStart w:id="1" w:name="OLE_LINK1"/>
            <w:r>
              <w:rPr>
                <w:rFonts w:eastAsia="方正仿宋_GBK"/>
                <w:sz w:val="28"/>
                <w:szCs w:val="28"/>
              </w:rPr>
              <w:t>并加盖公章</w:t>
            </w:r>
            <w:bookmarkEnd w:id="1"/>
            <w:r>
              <w:rPr>
                <w:rFonts w:hint="eastAsia" w:eastAsia="方正仿宋_GBK"/>
                <w:sz w:val="28"/>
                <w:szCs w:val="28"/>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2"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5</w:t>
            </w:r>
          </w:p>
        </w:tc>
        <w:tc>
          <w:tcPr>
            <w:tcW w:w="3056" w:type="dxa"/>
            <w:vAlign w:val="center"/>
          </w:tcPr>
          <w:p>
            <w:pPr>
              <w:spacing w:line="460" w:lineRule="exact"/>
              <w:jc w:val="left"/>
              <w:rPr>
                <w:rFonts w:eastAsia="方正仿宋_GBK"/>
                <w:sz w:val="28"/>
                <w:szCs w:val="28"/>
              </w:rPr>
            </w:pPr>
            <w:r>
              <w:rPr>
                <w:rFonts w:eastAsia="方正仿宋_GBK"/>
                <w:spacing w:val="1"/>
                <w:sz w:val="28"/>
                <w:szCs w:val="28"/>
              </w:rPr>
              <w:t>参加采购活动前3年内在经</w:t>
            </w:r>
            <w:r>
              <w:rPr>
                <w:rFonts w:eastAsia="方正仿宋_GBK"/>
                <w:sz w:val="28"/>
                <w:szCs w:val="28"/>
              </w:rPr>
              <w:t>营活动中没有重大违法记录</w:t>
            </w:r>
          </w:p>
        </w:tc>
        <w:tc>
          <w:tcPr>
            <w:tcW w:w="10293" w:type="dxa"/>
            <w:vAlign w:val="center"/>
          </w:tcPr>
          <w:p>
            <w:pPr>
              <w:spacing w:line="460" w:lineRule="exact"/>
              <w:jc w:val="left"/>
              <w:rPr>
                <w:rFonts w:eastAsia="方正仿宋_GBK"/>
                <w:sz w:val="28"/>
                <w:szCs w:val="28"/>
              </w:rPr>
            </w:pPr>
            <w:r>
              <w:rPr>
                <w:rFonts w:eastAsia="方正仿宋_GBK"/>
                <w:sz w:val="28"/>
                <w:szCs w:val="28"/>
              </w:rPr>
              <w:t>供应商在参加采购活动前3年内，在经营活动中没有重大违法记录。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eastAsia="方正仿宋_GBK"/>
                <w:spacing w:val="-2"/>
                <w:sz w:val="28"/>
                <w:szCs w:val="28"/>
              </w:rPr>
              <w:t>提供《关于供应商资格的声明函》</w:t>
            </w:r>
            <w:r>
              <w:rPr>
                <w:rFonts w:eastAsia="方正仿宋_GBK"/>
                <w:sz w:val="28"/>
                <w:szCs w:val="28"/>
              </w:rPr>
              <w:t>并加盖公章</w:t>
            </w:r>
            <w:r>
              <w:rPr>
                <w:rFonts w:eastAsia="方正仿宋_GBK"/>
                <w:spacing w:val="-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6</w:t>
            </w:r>
          </w:p>
        </w:tc>
        <w:tc>
          <w:tcPr>
            <w:tcW w:w="3056" w:type="dxa"/>
            <w:vAlign w:val="center"/>
          </w:tcPr>
          <w:p>
            <w:pPr>
              <w:spacing w:line="460" w:lineRule="exact"/>
              <w:jc w:val="left"/>
              <w:rPr>
                <w:rFonts w:eastAsia="方正仿宋_GBK"/>
                <w:sz w:val="28"/>
                <w:szCs w:val="28"/>
              </w:rPr>
            </w:pPr>
            <w:r>
              <w:rPr>
                <w:rFonts w:eastAsia="方正仿宋_GBK"/>
                <w:spacing w:val="-1"/>
                <w:sz w:val="28"/>
                <w:szCs w:val="28"/>
              </w:rPr>
              <w:t>信用记录</w:t>
            </w:r>
          </w:p>
        </w:tc>
        <w:tc>
          <w:tcPr>
            <w:tcW w:w="10293" w:type="dxa"/>
          </w:tcPr>
          <w:p>
            <w:pPr>
              <w:wordWrap w:val="0"/>
              <w:spacing w:line="460" w:lineRule="exact"/>
              <w:ind w:left="102"/>
              <w:jc w:val="left"/>
              <w:rPr>
                <w:rFonts w:eastAsia="方正仿宋_GBK"/>
                <w:sz w:val="28"/>
                <w:szCs w:val="28"/>
              </w:rPr>
            </w:pPr>
            <w:r>
              <w:rPr>
                <w:rFonts w:eastAsia="方正仿宋_GBK"/>
                <w:spacing w:val="3"/>
                <w:sz w:val="28"/>
                <w:szCs w:val="28"/>
              </w:rPr>
              <w:t>供应商未被列入“信用中国”网站(www.creditchina.gov.cn)“记录失信被执行人或</w:t>
            </w:r>
            <w:r>
              <w:rPr>
                <w:rFonts w:eastAsia="方正仿宋_GBK"/>
                <w:sz w:val="28"/>
                <w:szCs w:val="28"/>
              </w:rPr>
              <w:t>重大税收违法失信主体</w:t>
            </w:r>
            <w:r>
              <w:rPr>
                <w:rFonts w:eastAsia="方正仿宋_GBK"/>
                <w:spacing w:val="-1"/>
                <w:sz w:val="28"/>
                <w:szCs w:val="28"/>
              </w:rPr>
              <w:t>”记录名单；不处于中国政府采购网(www.ccgp.gov.cn)“政府采购严重违法失信行为信息记录”中的禁止参加政府采购活动期间。（</w:t>
            </w:r>
            <w:r>
              <w:rPr>
                <w:rFonts w:eastAsia="方正仿宋_GBK"/>
                <w:spacing w:val="1"/>
                <w:sz w:val="28"/>
                <w:szCs w:val="28"/>
              </w:rPr>
              <w:t>以采购人于响应截止当日在“信用中国”网站（www.creditchi</w:t>
            </w:r>
            <w:r>
              <w:rPr>
                <w:rFonts w:eastAsia="方正仿宋_GBK"/>
                <w:sz w:val="28"/>
                <w:szCs w:val="28"/>
              </w:rPr>
              <w:t xml:space="preserve"> </w:t>
            </w:r>
            <w:r>
              <w:rPr>
                <w:rFonts w:eastAsia="方正仿宋_GBK"/>
                <w:spacing w:val="-1"/>
                <w:sz w:val="28"/>
                <w:szCs w:val="28"/>
              </w:rPr>
              <w:t>na.gov.cn）及中国政府采购网（</w:t>
            </w:r>
            <w:r>
              <w:rPr>
                <w:rFonts w:eastAsia="方正仿宋_GBK"/>
                <w:spacing w:val="-49"/>
                <w:sz w:val="28"/>
                <w:szCs w:val="28"/>
              </w:rPr>
              <w:t xml:space="preserve"> </w:t>
            </w:r>
            <w:r>
              <w:rPr>
                <w:rFonts w:eastAsia="方正仿宋_GBK"/>
                <w:spacing w:val="-1"/>
                <w:sz w:val="28"/>
                <w:szCs w:val="28"/>
              </w:rPr>
              <w:t>http://www.ccgp.gov.cn/）</w:t>
            </w:r>
            <w:r>
              <w:rPr>
                <w:rFonts w:eastAsia="方正仿宋_GBK"/>
                <w:spacing w:val="-24"/>
                <w:sz w:val="28"/>
                <w:szCs w:val="28"/>
              </w:rPr>
              <w:t xml:space="preserve"> </w:t>
            </w:r>
            <w:r>
              <w:rPr>
                <w:rFonts w:eastAsia="方正仿宋_GBK"/>
                <w:spacing w:val="-1"/>
                <w:sz w:val="28"/>
                <w:szCs w:val="28"/>
              </w:rPr>
              <w:t>查询结果为准，</w:t>
            </w:r>
            <w:r>
              <w:rPr>
                <w:rFonts w:eastAsia="方正仿宋_GBK"/>
                <w:spacing w:val="-3"/>
                <w:sz w:val="28"/>
                <w:szCs w:val="28"/>
              </w:rPr>
              <w:t>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030" w:type="dxa"/>
            <w:vAlign w:val="center"/>
          </w:tcPr>
          <w:p>
            <w:pPr>
              <w:spacing w:line="460" w:lineRule="exact"/>
              <w:jc w:val="center"/>
              <w:rPr>
                <w:rFonts w:eastAsia="方正仿宋_GBK"/>
                <w:sz w:val="28"/>
                <w:szCs w:val="28"/>
              </w:rPr>
            </w:pPr>
            <w:r>
              <w:rPr>
                <w:rFonts w:hint="eastAsia" w:eastAsia="方正仿宋_GBK"/>
                <w:sz w:val="28"/>
                <w:szCs w:val="28"/>
              </w:rPr>
              <w:t>7</w:t>
            </w:r>
          </w:p>
        </w:tc>
        <w:tc>
          <w:tcPr>
            <w:tcW w:w="3056" w:type="dxa"/>
            <w:vAlign w:val="center"/>
          </w:tcPr>
          <w:p>
            <w:pPr>
              <w:spacing w:line="460" w:lineRule="exact"/>
              <w:jc w:val="left"/>
              <w:rPr>
                <w:rFonts w:eastAsia="方正仿宋_GBK"/>
                <w:spacing w:val="-1"/>
                <w:sz w:val="28"/>
                <w:szCs w:val="28"/>
              </w:rPr>
            </w:pPr>
            <w:r>
              <w:rPr>
                <w:rFonts w:eastAsia="方正仿宋_GBK"/>
                <w:spacing w:val="-1"/>
                <w:sz w:val="28"/>
                <w:szCs w:val="28"/>
              </w:rPr>
              <w:t>不接受联合体报名</w:t>
            </w:r>
          </w:p>
        </w:tc>
        <w:tc>
          <w:tcPr>
            <w:tcW w:w="10293" w:type="dxa"/>
            <w:vAlign w:val="center"/>
          </w:tcPr>
          <w:p>
            <w:pPr>
              <w:wordWrap w:val="0"/>
              <w:spacing w:line="460" w:lineRule="exact"/>
              <w:ind w:left="102"/>
              <w:jc w:val="left"/>
              <w:rPr>
                <w:rFonts w:eastAsia="方正仿宋_GBK"/>
                <w:spacing w:val="3"/>
                <w:sz w:val="28"/>
                <w:szCs w:val="28"/>
              </w:rPr>
            </w:pPr>
            <w:r>
              <w:rPr>
                <w:rFonts w:eastAsia="方正仿宋_GBK"/>
                <w:sz w:val="28"/>
                <w:szCs w:val="28"/>
              </w:rPr>
              <w:t>提供</w:t>
            </w:r>
            <w:r>
              <w:rPr>
                <w:rFonts w:eastAsia="方正仿宋_GBK"/>
                <w:spacing w:val="-2"/>
                <w:sz w:val="28"/>
                <w:szCs w:val="28"/>
              </w:rPr>
              <w:t>《关于供应商资格的声明函》</w:t>
            </w:r>
            <w:r>
              <w:rPr>
                <w:rFonts w:eastAsia="方正仿宋_GBK"/>
                <w:sz w:val="28"/>
                <w:szCs w:val="28"/>
              </w:rPr>
              <w:t>并加盖公章</w:t>
            </w:r>
            <w:r>
              <w:rPr>
                <w:rFonts w:hint="eastAsia" w:eastAsia="方正仿宋_GBK"/>
                <w:sz w:val="28"/>
                <w:szCs w:val="28"/>
              </w:rPr>
              <w:t>。</w:t>
            </w:r>
          </w:p>
        </w:tc>
      </w:tr>
    </w:tbl>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二、评分标准</w:t>
      </w:r>
      <w:r>
        <w:rPr>
          <w:rFonts w:hint="eastAsia" w:ascii="黑体" w:hAnsi="黑体" w:eastAsia="黑体"/>
          <w:sz w:val="32"/>
          <w:szCs w:val="32"/>
          <w:lang w:eastAsia="zh-CN"/>
        </w:rPr>
        <w:t>（满分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15"/>
        <w:tblW w:w="15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09"/>
        <w:gridCol w:w="1366"/>
        <w:gridCol w:w="1004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792"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409"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11415"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w:t>
            </w:r>
            <w:r>
              <w:rPr>
                <w:rFonts w:hint="eastAsia" w:eastAsia="方正仿宋_GBK"/>
                <w:b/>
                <w:bCs/>
                <w:sz w:val="30"/>
                <w:szCs w:val="30"/>
                <w:lang w:eastAsia="zh-CN"/>
              </w:rPr>
              <w:t>审</w:t>
            </w:r>
            <w:r>
              <w:rPr>
                <w:rFonts w:eastAsia="方正仿宋_GBK"/>
                <w:b/>
                <w:bCs/>
                <w:sz w:val="30"/>
                <w:szCs w:val="30"/>
              </w:rPr>
              <w:t>标准</w:t>
            </w:r>
          </w:p>
        </w:tc>
        <w:tc>
          <w:tcPr>
            <w:tcW w:w="1483" w:type="dxa"/>
            <w:shd w:val="clear" w:color="auto" w:fill="C6D9F0" w:themeFill="text2" w:themeFillTint="33"/>
            <w:vAlign w:val="center"/>
          </w:tcPr>
          <w:p>
            <w:pPr>
              <w:autoSpaceDE w:val="0"/>
              <w:autoSpaceDN w:val="0"/>
              <w:adjustRightInd w:val="0"/>
              <w:snapToGrid w:val="0"/>
              <w:spacing w:line="300" w:lineRule="exact"/>
              <w:jc w:val="center"/>
              <w:rPr>
                <w:rFonts w:hint="eastAsia" w:eastAsia="方正仿宋_GBK"/>
                <w:b/>
                <w:bCs/>
                <w:sz w:val="30"/>
                <w:szCs w:val="30"/>
                <w:lang w:eastAsia="zh-CN"/>
              </w:rPr>
            </w:pPr>
            <w:r>
              <w:rPr>
                <w:rFonts w:hint="eastAsia" w:eastAsia="方正仿宋_GBK"/>
                <w:b/>
                <w:bCs/>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792"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分值构成</w:t>
            </w:r>
          </w:p>
        </w:tc>
        <w:tc>
          <w:tcPr>
            <w:tcW w:w="11415" w:type="dxa"/>
            <w:gridSpan w:val="2"/>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r>
              <w:rPr>
                <w:rFonts w:hint="eastAsia" w:ascii="Times New Roman" w:hAnsi="Times New Roman" w:eastAsia="方正仿宋_GBK" w:cs="Times New Roman"/>
                <w:color w:val="auto"/>
                <w:spacing w:val="-1"/>
                <w:sz w:val="28"/>
                <w:szCs w:val="28"/>
              </w:rPr>
              <w:t>商务部分</w:t>
            </w:r>
            <w:r>
              <w:rPr>
                <w:rFonts w:hint="eastAsia" w:ascii="Times New Roman" w:hAnsi="Times New Roman" w:eastAsia="方正仿宋_GBK" w:cs="Times New Roman"/>
                <w:color w:val="auto"/>
                <w:spacing w:val="-1"/>
                <w:sz w:val="28"/>
                <w:szCs w:val="28"/>
                <w:lang w:eastAsia="zh-CN"/>
              </w:rPr>
              <w:t>满分</w:t>
            </w:r>
            <w:r>
              <w:rPr>
                <w:rFonts w:hint="eastAsia" w:ascii="Times New Roman" w:hAnsi="Times New Roman" w:eastAsia="方正仿宋_GBK" w:cs="Times New Roman"/>
                <w:color w:val="auto"/>
                <w:spacing w:val="-1"/>
                <w:sz w:val="28"/>
                <w:szCs w:val="28"/>
              </w:rPr>
              <w:t>2</w:t>
            </w:r>
            <w:r>
              <w:rPr>
                <w:rFonts w:hint="eastAsia" w:ascii="Times New Roman" w:hAnsi="Times New Roman" w:eastAsia="方正仿宋_GBK" w:cs="Times New Roman"/>
                <w:color w:val="auto"/>
                <w:spacing w:val="-1"/>
                <w:sz w:val="28"/>
                <w:szCs w:val="28"/>
                <w:lang w:val="en-US" w:eastAsia="zh-CN"/>
              </w:rPr>
              <w:t>5</w:t>
            </w:r>
            <w:r>
              <w:rPr>
                <w:rFonts w:hint="eastAsia" w:ascii="Times New Roman" w:hAnsi="Times New Roman" w:eastAsia="方正仿宋_GBK" w:cs="Times New Roman"/>
                <w:color w:val="auto"/>
                <w:spacing w:val="-1"/>
                <w:sz w:val="28"/>
                <w:szCs w:val="28"/>
              </w:rPr>
              <w:t>.0分</w:t>
            </w:r>
          </w:p>
          <w:p>
            <w:pPr>
              <w:spacing w:line="460" w:lineRule="exact"/>
              <w:jc w:val="left"/>
              <w:rPr>
                <w:rFonts w:ascii="Times New Roman" w:hAnsi="Times New Roman" w:eastAsia="方正仿宋_GBK" w:cs="Times New Roman"/>
                <w:color w:val="auto"/>
                <w:spacing w:val="-1"/>
                <w:sz w:val="28"/>
                <w:szCs w:val="28"/>
              </w:rPr>
            </w:pPr>
            <w:r>
              <w:rPr>
                <w:rFonts w:hint="eastAsia" w:ascii="Times New Roman" w:hAnsi="Times New Roman" w:eastAsia="方正仿宋_GBK" w:cs="Times New Roman"/>
                <w:color w:val="auto"/>
                <w:spacing w:val="-1"/>
                <w:sz w:val="28"/>
                <w:szCs w:val="28"/>
              </w:rPr>
              <w:t>技术部分</w:t>
            </w:r>
            <w:r>
              <w:rPr>
                <w:rFonts w:hint="eastAsia" w:ascii="Times New Roman" w:hAnsi="Times New Roman" w:eastAsia="方正仿宋_GBK" w:cs="Times New Roman"/>
                <w:color w:val="auto"/>
                <w:spacing w:val="-1"/>
                <w:sz w:val="28"/>
                <w:szCs w:val="28"/>
                <w:lang w:eastAsia="zh-CN"/>
              </w:rPr>
              <w:t>满分</w:t>
            </w:r>
            <w:r>
              <w:rPr>
                <w:rFonts w:hint="eastAsia" w:ascii="Times New Roman" w:hAnsi="Times New Roman" w:eastAsia="方正仿宋_GBK" w:cs="Times New Roman"/>
                <w:color w:val="auto"/>
                <w:spacing w:val="-1"/>
                <w:sz w:val="28"/>
                <w:szCs w:val="28"/>
                <w:lang w:val="en-US" w:eastAsia="zh-CN"/>
              </w:rPr>
              <w:t>65</w:t>
            </w:r>
            <w:r>
              <w:rPr>
                <w:rFonts w:hint="eastAsia" w:ascii="Times New Roman" w:hAnsi="Times New Roman" w:eastAsia="方正仿宋_GBK" w:cs="Times New Roman"/>
                <w:color w:val="auto"/>
                <w:spacing w:val="-1"/>
                <w:sz w:val="28"/>
                <w:szCs w:val="28"/>
              </w:rPr>
              <w:t>.0分</w:t>
            </w:r>
          </w:p>
          <w:p>
            <w:pPr>
              <w:spacing w:line="460" w:lineRule="exact"/>
              <w:jc w:val="left"/>
              <w:rPr>
                <w:rFonts w:ascii="Times New Roman" w:hAnsi="Times New Roman" w:eastAsia="方正仿宋_GBK" w:cs="Times New Roman"/>
                <w:color w:val="auto"/>
                <w:spacing w:val="-1"/>
                <w:sz w:val="28"/>
                <w:szCs w:val="28"/>
              </w:rPr>
            </w:pPr>
            <w:r>
              <w:rPr>
                <w:rFonts w:hint="eastAsia" w:ascii="Times New Roman" w:hAnsi="Times New Roman" w:eastAsia="方正仿宋_GBK" w:cs="Times New Roman"/>
                <w:color w:val="auto"/>
                <w:spacing w:val="-1"/>
                <w:sz w:val="28"/>
                <w:szCs w:val="28"/>
                <w:lang w:eastAsia="zh-CN"/>
              </w:rPr>
              <w:t>响应</w:t>
            </w:r>
            <w:r>
              <w:rPr>
                <w:rFonts w:hint="eastAsia" w:ascii="Times New Roman" w:hAnsi="Times New Roman" w:eastAsia="方正仿宋_GBK" w:cs="Times New Roman"/>
                <w:color w:val="auto"/>
                <w:spacing w:val="-1"/>
                <w:sz w:val="28"/>
                <w:szCs w:val="28"/>
              </w:rPr>
              <w:t>报价</w:t>
            </w:r>
            <w:r>
              <w:rPr>
                <w:rFonts w:hint="eastAsia" w:ascii="Times New Roman" w:hAnsi="Times New Roman" w:eastAsia="方正仿宋_GBK" w:cs="Times New Roman"/>
                <w:color w:val="auto"/>
                <w:spacing w:val="-1"/>
                <w:sz w:val="28"/>
                <w:szCs w:val="28"/>
                <w:lang w:eastAsia="zh-CN"/>
              </w:rPr>
              <w:t>满分</w:t>
            </w:r>
            <w:r>
              <w:rPr>
                <w:rFonts w:hint="eastAsia" w:ascii="Times New Roman" w:hAnsi="Times New Roman" w:eastAsia="方正仿宋_GBK" w:cs="Times New Roman"/>
                <w:color w:val="auto"/>
                <w:spacing w:val="-1"/>
                <w:sz w:val="28"/>
                <w:szCs w:val="28"/>
              </w:rPr>
              <w:t>10.0分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792"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val="en-US" w:eastAsia="zh-CN"/>
              </w:rPr>
            </w:pPr>
            <w:r>
              <w:rPr>
                <w:rFonts w:hint="eastAsia" w:ascii="Times New Roman" w:hAnsi="Times New Roman" w:eastAsia="方正仿宋_GBK" w:cs="Times New Roman"/>
                <w:color w:val="auto"/>
                <w:spacing w:val="-1"/>
                <w:sz w:val="28"/>
                <w:szCs w:val="28"/>
                <w:lang w:val="en-US" w:eastAsia="zh-CN"/>
              </w:rPr>
              <w:t>1</w:t>
            </w:r>
          </w:p>
        </w:tc>
        <w:tc>
          <w:tcPr>
            <w:tcW w:w="1409" w:type="dxa"/>
            <w:shd w:val="clear" w:color="auto" w:fill="auto"/>
            <w:vAlign w:val="center"/>
          </w:tcPr>
          <w:p>
            <w:pPr>
              <w:spacing w:line="460" w:lineRule="exact"/>
              <w:jc w:val="center"/>
              <w:rPr>
                <w:rFonts w:hint="eastAsia"/>
                <w:lang w:eastAsia="zh-CN"/>
              </w:rPr>
            </w:pPr>
            <w:r>
              <w:rPr>
                <w:rFonts w:hint="eastAsia" w:ascii="Times New Roman" w:hAnsi="Times New Roman" w:eastAsia="方正仿宋_GBK" w:cs="Times New Roman"/>
                <w:color w:val="auto"/>
                <w:spacing w:val="-1"/>
                <w:sz w:val="28"/>
                <w:szCs w:val="28"/>
                <w:lang w:eastAsia="zh-CN"/>
              </w:rPr>
              <w:t>商务部分</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项目负责人（</w:t>
            </w:r>
            <w:r>
              <w:rPr>
                <w:rFonts w:hint="eastAsia" w:ascii="Times New Roman" w:hAnsi="Times New Roman" w:eastAsia="方正仿宋_GBK" w:cs="Times New Roman"/>
                <w:color w:val="auto"/>
                <w:spacing w:val="-1"/>
                <w:sz w:val="28"/>
                <w:szCs w:val="28"/>
                <w:lang w:val="en-US" w:eastAsia="zh-CN"/>
              </w:rPr>
              <w:t>7分</w:t>
            </w:r>
            <w:r>
              <w:rPr>
                <w:rFonts w:hint="eastAsia" w:ascii="Times New Roman" w:hAnsi="Times New Roman" w:eastAsia="方正仿宋_GBK" w:cs="Times New Roman"/>
                <w:color w:val="auto"/>
                <w:spacing w:val="-1"/>
                <w:sz w:val="28"/>
                <w:szCs w:val="28"/>
                <w:lang w:eastAsia="zh-CN"/>
              </w:rPr>
              <w:t>）</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项目负责人2023年1月1日至今（以合同签订日期为准）具有担任过政府部门主办的活动综合服务类项目负责人的经验的，每个得1分，本项最高得分为7分。</w:t>
            </w:r>
          </w:p>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同一项目经验不重复计分。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8" w:hRule="atLeast"/>
          <w:jc w:val="center"/>
        </w:trPr>
        <w:tc>
          <w:tcPr>
            <w:tcW w:w="792"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val="en-US" w:eastAsia="zh-CN"/>
              </w:rPr>
            </w:pPr>
            <w:r>
              <w:rPr>
                <w:rFonts w:hint="eastAsia" w:ascii="Times New Roman" w:hAnsi="Times New Roman" w:eastAsia="方正仿宋_GBK" w:cs="Times New Roman"/>
                <w:color w:val="auto"/>
                <w:spacing w:val="-1"/>
                <w:sz w:val="28"/>
                <w:szCs w:val="28"/>
                <w:lang w:val="en-US" w:eastAsia="zh-CN"/>
              </w:rPr>
              <w:t>2</w:t>
            </w:r>
          </w:p>
        </w:tc>
        <w:tc>
          <w:tcPr>
            <w:tcW w:w="1409" w:type="dxa"/>
            <w:shd w:val="clear" w:color="auto" w:fill="auto"/>
            <w:vAlign w:val="center"/>
          </w:tcPr>
          <w:p>
            <w:pPr>
              <w:spacing w:line="460" w:lineRule="exact"/>
              <w:jc w:val="center"/>
              <w:rPr>
                <w:rFonts w:hint="eastAsia"/>
                <w:lang w:eastAsia="zh-CN"/>
              </w:rPr>
            </w:pPr>
            <w:r>
              <w:rPr>
                <w:rFonts w:hint="eastAsia" w:ascii="Times New Roman" w:hAnsi="Times New Roman" w:eastAsia="方正仿宋_GBK" w:cs="Times New Roman"/>
                <w:color w:val="auto"/>
                <w:spacing w:val="-1"/>
                <w:sz w:val="28"/>
                <w:szCs w:val="28"/>
                <w:lang w:eastAsia="zh-CN"/>
              </w:rPr>
              <w:t>商务部分</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经营业绩（</w:t>
            </w:r>
            <w:r>
              <w:rPr>
                <w:rFonts w:hint="eastAsia" w:ascii="Times New Roman" w:hAnsi="Times New Roman" w:eastAsia="方正仿宋_GBK" w:cs="Times New Roman"/>
                <w:color w:val="auto"/>
                <w:spacing w:val="-1"/>
                <w:sz w:val="28"/>
                <w:szCs w:val="28"/>
                <w:lang w:val="en-US" w:eastAsia="zh-CN"/>
              </w:rPr>
              <w:t>18分</w:t>
            </w:r>
            <w:r>
              <w:rPr>
                <w:rFonts w:hint="eastAsia" w:ascii="Times New Roman" w:hAnsi="Times New Roman" w:eastAsia="方正仿宋_GBK" w:cs="Times New Roman"/>
                <w:color w:val="auto"/>
                <w:spacing w:val="-1"/>
                <w:sz w:val="28"/>
                <w:szCs w:val="28"/>
                <w:lang w:eastAsia="zh-CN"/>
              </w:rPr>
              <w:t>）</w:t>
            </w:r>
          </w:p>
        </w:tc>
        <w:tc>
          <w:tcPr>
            <w:tcW w:w="10049" w:type="dxa"/>
            <w:shd w:val="clear" w:color="auto" w:fill="auto"/>
            <w:vAlign w:val="center"/>
          </w:tcPr>
          <w:p>
            <w:pPr>
              <w:pStyle w:val="8"/>
              <w:spacing w:line="480" w:lineRule="exac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1.服务供应商2023年1月1日至今承担过政府部门主办的赛事或活动综合服务类项目：承担过国家级项目的每项得8分，承担过省级（不含县级市）项目的每项得6分，承担过市级（不含县级市）项目的每项得4分，承担过县级项目的每项得2分，其他或没有的得0分。</w:t>
            </w:r>
          </w:p>
          <w:p>
            <w:pPr>
              <w:pStyle w:val="8"/>
              <w:spacing w:line="480" w:lineRule="exac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本项最高得分为18分。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5"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ascii="Times New Roman" w:hAnsi="Times New Roman" w:eastAsia="方正仿宋_GBK" w:cs="Times New Roman"/>
                <w:color w:val="auto"/>
                <w:spacing w:val="-1"/>
                <w:sz w:val="28"/>
                <w:szCs w:val="28"/>
                <w:lang w:val="en-US" w:eastAsia="zh-CN"/>
              </w:rPr>
              <w:t>3</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技术部分</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项目目标和需求的理解（</w:t>
            </w:r>
            <w:r>
              <w:rPr>
                <w:rFonts w:hint="eastAsia" w:ascii="Times New Roman" w:hAnsi="Times New Roman" w:eastAsia="方正仿宋_GBK" w:cs="Times New Roman"/>
                <w:color w:val="auto"/>
                <w:spacing w:val="-1"/>
                <w:sz w:val="28"/>
                <w:szCs w:val="28"/>
                <w:lang w:val="en-US" w:eastAsia="zh-CN"/>
              </w:rPr>
              <w:t>10</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对项目目标和需求的理解程度进行评审，包括是否准确把握项目目标，是否能够结合国家和省有关政策及结合江门当地产业情况提出项目建设思路和实施原则；是否详细分析现状和准确把握需求，是否能够对项目重难点分析及解决方案进行正确和合理阐述；对项目的总体需求的理解是否深入透切、定位准确。</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项目目标和需求的理解全面、准确，满足且优于项目需求的，得10分；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项目目标和需求的理解较全面、较准确，满足项目需求的，得7分；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项目目标和需求的理解一般全面、一般准确，基本满足项目需求的，得4分；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项目目标和需求的理解不够全面的，得1分；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项目目标和需求的理解差或无提供相关描述的，得0分。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ascii="Times New Roman" w:hAnsi="Times New Roman" w:eastAsia="方正仿宋_GBK" w:cs="Times New Roman"/>
                <w:color w:val="auto"/>
                <w:spacing w:val="-1"/>
                <w:sz w:val="28"/>
                <w:szCs w:val="28"/>
                <w:lang w:val="en-US" w:eastAsia="zh-CN"/>
              </w:rPr>
              <w:t>4</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技术部分</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项目组织实施及运作流程设计方案（2</w:t>
            </w:r>
            <w:r>
              <w:rPr>
                <w:rFonts w:hint="eastAsia" w:eastAsia="方正仿宋_GBK" w:cs="Times New Roman"/>
                <w:color w:val="auto"/>
                <w:spacing w:val="-1"/>
                <w:sz w:val="28"/>
                <w:szCs w:val="28"/>
                <w:lang w:val="en-US" w:eastAsia="zh-CN"/>
              </w:rPr>
              <w:t>8</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根据服务供应商所提供项目组织实施及运作流程设计方案进行评审，包括项目组织实施方案、运作流程设计方案是否合理，是否贴近本项目实际情况，内容是否清晰详细。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项目组织实施及运作流程设计方案合理、清晰、详细，满足且优于项目需求的，得2</w:t>
            </w:r>
            <w:r>
              <w:rPr>
                <w:rFonts w:hint="eastAsia" w:eastAsia="方正仿宋_GBK" w:cs="Times New Roman"/>
                <w:color w:val="auto"/>
                <w:spacing w:val="-1"/>
                <w:kern w:val="2"/>
                <w:sz w:val="28"/>
                <w:szCs w:val="28"/>
                <w:lang w:val="en-US" w:eastAsia="zh-CN" w:bidi="ar-SA"/>
              </w:rPr>
              <w:t>8</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项目组织实施及运作流程设计方案较合理、较清晰、较详细，满足项目需求的，得</w:t>
            </w:r>
            <w:r>
              <w:rPr>
                <w:rFonts w:hint="eastAsia" w:eastAsia="方正仿宋_GBK" w:cs="Times New Roman"/>
                <w:color w:val="auto"/>
                <w:spacing w:val="-1"/>
                <w:kern w:val="2"/>
                <w:sz w:val="28"/>
                <w:szCs w:val="28"/>
                <w:lang w:val="en-US" w:eastAsia="zh-CN" w:bidi="ar-SA"/>
              </w:rPr>
              <w:t>22</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项目组织实施及运作流程设计方案一般合理、一般清晰、一般详细，基本满足项目需求的，得</w:t>
            </w:r>
            <w:r>
              <w:rPr>
                <w:rFonts w:hint="eastAsia" w:eastAsia="方正仿宋_GBK" w:cs="Times New Roman"/>
                <w:color w:val="auto"/>
                <w:spacing w:val="-1"/>
                <w:kern w:val="2"/>
                <w:sz w:val="28"/>
                <w:szCs w:val="28"/>
                <w:lang w:val="en-US" w:eastAsia="zh-CN" w:bidi="ar-SA"/>
              </w:rPr>
              <w:t>16</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项目组织实施及运作流程设计方案不够合理、不够清晰、不够详细的，得</w:t>
            </w:r>
            <w:r>
              <w:rPr>
                <w:rFonts w:hint="eastAsia" w:eastAsia="方正仿宋_GBK" w:cs="Times New Roman"/>
                <w:color w:val="auto"/>
                <w:spacing w:val="-1"/>
                <w:kern w:val="2"/>
                <w:sz w:val="28"/>
                <w:szCs w:val="28"/>
                <w:lang w:val="en-US" w:eastAsia="zh-CN" w:bidi="ar-SA"/>
              </w:rPr>
              <w:t>10</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项目组织实施及运作流程设计方案不合理、不清晰、不详细或无提供相关描述的，得</w:t>
            </w:r>
            <w:r>
              <w:rPr>
                <w:rFonts w:hint="eastAsia" w:eastAsia="方正仿宋_GBK" w:cs="Times New Roman"/>
                <w:color w:val="auto"/>
                <w:spacing w:val="-1"/>
                <w:kern w:val="2"/>
                <w:sz w:val="28"/>
                <w:szCs w:val="28"/>
                <w:lang w:val="en-US" w:eastAsia="zh-CN" w:bidi="ar-SA"/>
              </w:rPr>
              <w:t>4</w:t>
            </w:r>
            <w:r>
              <w:rPr>
                <w:rFonts w:hint="eastAsia" w:ascii="Times New Roman" w:hAnsi="Times New Roman" w:eastAsia="方正仿宋_GBK" w:cs="Times New Roman"/>
                <w:color w:val="auto"/>
                <w:spacing w:val="-1"/>
                <w:kern w:val="2"/>
                <w:sz w:val="28"/>
                <w:szCs w:val="28"/>
                <w:lang w:val="en-US" w:eastAsia="zh-CN" w:bidi="ar-SA"/>
              </w:rPr>
              <w:t>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eastAsia="方正仿宋_GBK" w:cs="Times New Roman"/>
                <w:color w:val="auto"/>
                <w:spacing w:val="-1"/>
                <w:sz w:val="28"/>
                <w:szCs w:val="28"/>
                <w:lang w:val="en-US" w:eastAsia="zh-CN"/>
              </w:rPr>
              <w:t>5</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基础保障服务方案（</w:t>
            </w:r>
            <w:r>
              <w:rPr>
                <w:rFonts w:hint="eastAsia" w:ascii="Times New Roman" w:hAnsi="Times New Roman" w:eastAsia="方正仿宋_GBK" w:cs="Times New Roman"/>
                <w:color w:val="auto"/>
                <w:spacing w:val="-1"/>
                <w:sz w:val="28"/>
                <w:szCs w:val="28"/>
                <w:lang w:val="en-US" w:eastAsia="zh-CN"/>
              </w:rPr>
              <w:t>9</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根据服务供应商所提供各类基础保障服务方案进行评审，包括针对本项目的安检设备设施配套、消防、监控管理、卫生管理等服务实施方案与落实措施是否完善、可行。</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各类基础保障服务方案完善、可行，满足且优于项目需求的，得</w:t>
            </w:r>
            <w:r>
              <w:rPr>
                <w:rFonts w:hint="eastAsia" w:eastAsia="方正仿宋_GBK" w:cs="Times New Roman"/>
                <w:color w:val="auto"/>
                <w:spacing w:val="-1"/>
                <w:kern w:val="2"/>
                <w:sz w:val="28"/>
                <w:szCs w:val="28"/>
                <w:lang w:val="en-US" w:eastAsia="zh-CN" w:bidi="ar-SA"/>
              </w:rPr>
              <w:t>9</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各类基础保障服务方案较完善、较可行，满足项目需求的，得5分；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各类基础保障服务方案一般完善、一般可行，基本满足项目需求的，得3分；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各类基础保障服务方案不够完善、不够可行的，得1分；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各类基础保障服务方案不完善、不可行或无提供相关描述的，得0分。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9"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eastAsia="方正仿宋_GBK" w:cs="Times New Roman"/>
                <w:color w:val="auto"/>
                <w:spacing w:val="-1"/>
                <w:sz w:val="28"/>
                <w:szCs w:val="28"/>
                <w:lang w:val="en-US" w:eastAsia="zh-CN"/>
              </w:rPr>
              <w:t>6</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服务保障及应急措施方案（</w:t>
            </w:r>
            <w:r>
              <w:rPr>
                <w:rFonts w:hint="eastAsia" w:ascii="Times New Roman" w:hAnsi="Times New Roman" w:eastAsia="方正仿宋_GBK" w:cs="Times New Roman"/>
                <w:color w:val="auto"/>
                <w:spacing w:val="-1"/>
                <w:sz w:val="28"/>
                <w:szCs w:val="28"/>
                <w:lang w:val="en-US" w:eastAsia="zh-CN"/>
              </w:rPr>
              <w:t>9</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根据服务供应商所提供服务保障及应急措施方案进行评审，包括对本项目的现场维护服务、接故障、后勤供应不足或出现问题通知时及时到达现场排除或修复的响应承诺、布展应急保障措施是否完善、可行。</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服务保障及应急措施方案完善、可行，满足且优于项目需求的，得</w:t>
            </w:r>
            <w:r>
              <w:rPr>
                <w:rFonts w:hint="eastAsia" w:eastAsia="方正仿宋_GBK" w:cs="Times New Roman"/>
                <w:color w:val="auto"/>
                <w:spacing w:val="-1"/>
                <w:kern w:val="2"/>
                <w:sz w:val="28"/>
                <w:szCs w:val="28"/>
                <w:lang w:val="en-US" w:eastAsia="zh-CN" w:bidi="ar-SA"/>
              </w:rPr>
              <w:t>9</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服务保障及应急措施方案较完善、较可行，满足项目需求的，得6分；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服务保障及应急措施方案一般完善、一般可行，基本满足项目需求的，得4分；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服务保障及应急措施方案不够完善、不够可行的，得2分；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服务保障及应急措施方案不完善、不可行或无提供相关描述的，得0分。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9"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eastAsia="方正仿宋_GBK" w:cs="Times New Roman"/>
                <w:color w:val="auto"/>
                <w:spacing w:val="-1"/>
                <w:sz w:val="28"/>
                <w:szCs w:val="28"/>
                <w:lang w:val="en-US" w:eastAsia="zh-CN"/>
              </w:rPr>
              <w:t>7</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项目进度计划与项目重点难点等措施及管理方案（</w:t>
            </w:r>
            <w:r>
              <w:rPr>
                <w:rFonts w:hint="eastAsia" w:ascii="Times New Roman" w:hAnsi="Times New Roman" w:eastAsia="方正仿宋_GBK" w:cs="Times New Roman"/>
                <w:color w:val="auto"/>
                <w:spacing w:val="-1"/>
                <w:sz w:val="28"/>
                <w:szCs w:val="28"/>
                <w:lang w:val="en-US" w:eastAsia="zh-CN"/>
              </w:rPr>
              <w:t>9</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所提供项目进度计划与项目重点难点等措施及管理方案进行评审，包括对项目重点难点分析是否到位，保证措施是否合理，进度控制是否可行，是否满足总工期要求，项目实施管理是否规范，任务划分是否清晰，人员分配是否合理，工期计划、考核及验收方案是否可行、是否具可操作性。</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项目进度计划与项目重点难点等措施及管理方案完善、合理、可行，满足且优于项目需求的，得</w:t>
            </w:r>
            <w:r>
              <w:rPr>
                <w:rFonts w:hint="eastAsia" w:eastAsia="方正仿宋_GBK" w:cs="Times New Roman"/>
                <w:color w:val="auto"/>
                <w:spacing w:val="-1"/>
                <w:kern w:val="2"/>
                <w:sz w:val="28"/>
                <w:szCs w:val="28"/>
                <w:lang w:val="en-US" w:eastAsia="zh-CN" w:bidi="ar-SA"/>
              </w:rPr>
              <w:t>9</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项目进度计划与项目重点难点等措施及管理方案较完善、较合理、较可行，满足项目需求的，得6分；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项目进度计划与项目重点难点等措施及管理方案一般完善、一般合理、一般可行，基本满足项目需求的，得4分；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项目进度计划与项目重点难点等措施及管理方案不够完善、不够合理、不够可行的，得2分；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项目进度计划与项目重点难点等措施及管理方案不完善、不合理、不可行或无提供相关描述的，得0分。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eastAsia="方正仿宋_GBK" w:cs="Times New Roman"/>
                <w:color w:val="auto"/>
                <w:spacing w:val="-1"/>
                <w:sz w:val="28"/>
                <w:szCs w:val="28"/>
                <w:lang w:val="en-US" w:eastAsia="zh-CN"/>
              </w:rPr>
              <w:t>8</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响应报价</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响应报价得分(10分）</w:t>
            </w:r>
          </w:p>
        </w:tc>
        <w:tc>
          <w:tcPr>
            <w:tcW w:w="10049" w:type="dxa"/>
            <w:shd w:val="clear" w:color="auto" w:fill="auto"/>
            <w:vAlign w:val="center"/>
          </w:tcPr>
          <w:p>
            <w:pPr>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计算价格评分统一采用低价优先法计算，各有效投标人的评标价中，取最低价为评标基准价，其价格为满分，其他投标人的价格分统一按照下列公式计算：价格评分=（评分基准价/评标价）×10分，最低报价不是中选的唯一依据。</w:t>
            </w:r>
          </w:p>
          <w:p>
            <w:pPr>
              <w:pStyle w:val="2"/>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Times New Roman" w:hAnsi="Times New Roman" w:eastAsia="方正仿宋_GBK" w:cs="Times New Roman"/>
                <w:b w:val="0"/>
                <w:bCs w:val="0"/>
                <w:color w:val="auto"/>
                <w:spacing w:val="-1"/>
                <w:kern w:val="2"/>
                <w:sz w:val="28"/>
                <w:szCs w:val="28"/>
                <w:lang w:val="en-US" w:eastAsia="zh-CN" w:bidi="ar-SA"/>
              </w:rPr>
              <w:t>注：为了保证供应商的公平竞争和采购人的合法权益，防止恶意竞争，保证项目质量，供应商报价若低于采购预算金额的80%，须对报价合理性及成本构成作书面说明（如报价成本分析），</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bl>
    <w:p>
      <w:pPr>
        <w:widowControl/>
        <w:jc w:val="left"/>
        <w:rPr>
          <w:rFonts w:ascii="仿宋_GB2312" w:eastAsia="仿宋_GB2312"/>
          <w:sz w:val="32"/>
          <w:szCs w:val="32"/>
        </w:rPr>
      </w:pPr>
    </w:p>
    <w:p>
      <w:pPr>
        <w:spacing w:after="60"/>
        <w:rPr>
          <w:vanish/>
        </w:rPr>
      </w:pPr>
    </w:p>
    <w:sectPr>
      <w:footerReference r:id="rId3" w:type="default"/>
      <w:pgSz w:w="16837" w:h="11905" w:orient="landscape"/>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D679E9"/>
    <w:rsid w:val="00022226"/>
    <w:rsid w:val="000708C0"/>
    <w:rsid w:val="00074E97"/>
    <w:rsid w:val="000A6ECA"/>
    <w:rsid w:val="00133DEA"/>
    <w:rsid w:val="00172616"/>
    <w:rsid w:val="001823EC"/>
    <w:rsid w:val="001947FE"/>
    <w:rsid w:val="001F0482"/>
    <w:rsid w:val="001F3593"/>
    <w:rsid w:val="0028088F"/>
    <w:rsid w:val="002E53F9"/>
    <w:rsid w:val="002F21F7"/>
    <w:rsid w:val="0030070C"/>
    <w:rsid w:val="00402479"/>
    <w:rsid w:val="00411ADA"/>
    <w:rsid w:val="00455DC3"/>
    <w:rsid w:val="0046044F"/>
    <w:rsid w:val="00492310"/>
    <w:rsid w:val="004B338E"/>
    <w:rsid w:val="004C2560"/>
    <w:rsid w:val="004D4EB9"/>
    <w:rsid w:val="005000E1"/>
    <w:rsid w:val="005067F3"/>
    <w:rsid w:val="005462CC"/>
    <w:rsid w:val="00562522"/>
    <w:rsid w:val="005A28E1"/>
    <w:rsid w:val="005A5EA9"/>
    <w:rsid w:val="005D31D2"/>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679E9"/>
    <w:rsid w:val="00DE1F0F"/>
    <w:rsid w:val="00DF1221"/>
    <w:rsid w:val="00E24F68"/>
    <w:rsid w:val="00E7180C"/>
    <w:rsid w:val="00E7602F"/>
    <w:rsid w:val="00E92E15"/>
    <w:rsid w:val="00EA06F7"/>
    <w:rsid w:val="00F00B80"/>
    <w:rsid w:val="00F113A1"/>
    <w:rsid w:val="00F63813"/>
    <w:rsid w:val="00F76F0A"/>
    <w:rsid w:val="00FA4EEE"/>
    <w:rsid w:val="034921BB"/>
    <w:rsid w:val="03DA19BE"/>
    <w:rsid w:val="03DA3C5D"/>
    <w:rsid w:val="03DA48E8"/>
    <w:rsid w:val="0659586C"/>
    <w:rsid w:val="07F916A8"/>
    <w:rsid w:val="07F9C8A6"/>
    <w:rsid w:val="09C54508"/>
    <w:rsid w:val="106519DD"/>
    <w:rsid w:val="114928EB"/>
    <w:rsid w:val="11F33019"/>
    <w:rsid w:val="130305CB"/>
    <w:rsid w:val="15824B15"/>
    <w:rsid w:val="15901346"/>
    <w:rsid w:val="16811788"/>
    <w:rsid w:val="17103D25"/>
    <w:rsid w:val="1B707E8E"/>
    <w:rsid w:val="1C626DD1"/>
    <w:rsid w:val="1FE60110"/>
    <w:rsid w:val="21221225"/>
    <w:rsid w:val="21E43400"/>
    <w:rsid w:val="25867FD4"/>
    <w:rsid w:val="27C45CD8"/>
    <w:rsid w:val="2B354C7C"/>
    <w:rsid w:val="2E045F3A"/>
    <w:rsid w:val="2EFE3E38"/>
    <w:rsid w:val="327B529D"/>
    <w:rsid w:val="3583585A"/>
    <w:rsid w:val="3971644D"/>
    <w:rsid w:val="39A54341"/>
    <w:rsid w:val="39F74BA5"/>
    <w:rsid w:val="3BDD426E"/>
    <w:rsid w:val="3CCA47F2"/>
    <w:rsid w:val="3D75175F"/>
    <w:rsid w:val="3ECDB459"/>
    <w:rsid w:val="40A71D1A"/>
    <w:rsid w:val="417665CE"/>
    <w:rsid w:val="42561B2D"/>
    <w:rsid w:val="440A3A43"/>
    <w:rsid w:val="46765C0C"/>
    <w:rsid w:val="480A0199"/>
    <w:rsid w:val="49731D6E"/>
    <w:rsid w:val="4CF02D63"/>
    <w:rsid w:val="53590226"/>
    <w:rsid w:val="54B202F2"/>
    <w:rsid w:val="55EB48A6"/>
    <w:rsid w:val="580746F5"/>
    <w:rsid w:val="58394A44"/>
    <w:rsid w:val="5A160B2C"/>
    <w:rsid w:val="5B2305AE"/>
    <w:rsid w:val="5BFF1FA6"/>
    <w:rsid w:val="5C4C2DF1"/>
    <w:rsid w:val="5E7C711A"/>
    <w:rsid w:val="5F8770D1"/>
    <w:rsid w:val="5FCD8549"/>
    <w:rsid w:val="6067535B"/>
    <w:rsid w:val="60A61681"/>
    <w:rsid w:val="62315B16"/>
    <w:rsid w:val="65962C14"/>
    <w:rsid w:val="676735EE"/>
    <w:rsid w:val="6A5512F0"/>
    <w:rsid w:val="6B3833C1"/>
    <w:rsid w:val="6D125276"/>
    <w:rsid w:val="6FDB7514"/>
    <w:rsid w:val="6FFB19C8"/>
    <w:rsid w:val="746E36DA"/>
    <w:rsid w:val="7716147C"/>
    <w:rsid w:val="77DF29DE"/>
    <w:rsid w:val="7AAF2DFD"/>
    <w:rsid w:val="7C1079CE"/>
    <w:rsid w:val="7EA13CB3"/>
    <w:rsid w:val="99FD202C"/>
    <w:rsid w:val="9EF54574"/>
    <w:rsid w:val="A4FFD091"/>
    <w:rsid w:val="AFFF088F"/>
    <w:rsid w:val="B963F7AB"/>
    <w:rsid w:val="CCBA3F81"/>
    <w:rsid w:val="CE1DC0F6"/>
    <w:rsid w:val="CFFB17DD"/>
    <w:rsid w:val="D3EFD284"/>
    <w:rsid w:val="F9D7958E"/>
    <w:rsid w:val="F9EB2B37"/>
    <w:rsid w:val="FD573BDA"/>
    <w:rsid w:val="FECD6B2D"/>
    <w:rsid w:val="FEDEB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Body Text"/>
    <w:basedOn w:val="1"/>
    <w:qFormat/>
    <w:uiPriority w:val="0"/>
    <w:pPr>
      <w:spacing w:line="360" w:lineRule="auto"/>
    </w:pPr>
    <w:rPr>
      <w:rFonts w:ascii="仿宋_GB2312"/>
      <w:sz w:val="28"/>
    </w:rPr>
  </w:style>
  <w:style w:type="paragraph" w:styleId="8">
    <w:name w:val="Plain Text"/>
    <w:basedOn w:val="1"/>
    <w:link w:val="18"/>
    <w:qFormat/>
    <w:uiPriority w:val="0"/>
    <w:rPr>
      <w:rFonts w:ascii="宋体" w:hAnsi="Courier New"/>
      <w:szCs w:val="21"/>
    </w:rPr>
  </w:style>
  <w:style w:type="paragraph" w:styleId="9">
    <w:name w:val="Date"/>
    <w:basedOn w:val="1"/>
    <w:next w:val="1"/>
    <w:qFormat/>
    <w:uiPriority w:val="0"/>
    <w:pPr>
      <w:autoSpaceDE w:val="0"/>
      <w:autoSpaceDN w:val="0"/>
      <w:adjustRightInd w:val="0"/>
      <w:textAlignment w:val="baseline"/>
    </w:pPr>
    <w:rPr>
      <w:rFonts w:ascii="宋体"/>
      <w:kern w:val="0"/>
      <w:sz w:val="28"/>
    </w:rPr>
  </w:style>
  <w:style w:type="paragraph" w:styleId="10">
    <w:name w:val="Balloon Text"/>
    <w:basedOn w:val="1"/>
    <w:link w:val="27"/>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8"/>
    <w:qFormat/>
    <w:uiPriority w:val="0"/>
    <w:rPr>
      <w:rFonts w:ascii="宋体" w:hAnsi="Courier New" w:eastAsia="宋体" w:cs="Times New Roman"/>
      <w:szCs w:val="21"/>
    </w:rPr>
  </w:style>
  <w:style w:type="character" w:customStyle="1" w:styleId="19">
    <w:name w:val="无间隔 字符"/>
    <w:link w:val="20"/>
    <w:qFormat/>
    <w:locked/>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Theme="minorEastAsia" w:cstheme="minorBidi"/>
      <w:sz w:val="22"/>
      <w:lang w:eastAsia="en-US" w:bidi="en-US"/>
    </w:rPr>
  </w:style>
  <w:style w:type="character" w:customStyle="1" w:styleId="21">
    <w:name w:val="页眉 字符"/>
    <w:basedOn w:val="16"/>
    <w:link w:val="12"/>
    <w:qFormat/>
    <w:uiPriority w:val="99"/>
    <w:rPr>
      <w:rFonts w:ascii="Times New Roman" w:hAnsi="Times New Roman" w:eastAsia="宋体" w:cs="Times New Roman"/>
      <w:sz w:val="18"/>
      <w:szCs w:val="18"/>
    </w:rPr>
  </w:style>
  <w:style w:type="character" w:customStyle="1" w:styleId="22">
    <w:name w:val="页脚 字符"/>
    <w:basedOn w:val="16"/>
    <w:link w:val="11"/>
    <w:qFormat/>
    <w:uiPriority w:val="99"/>
    <w:rPr>
      <w:rFonts w:ascii="Times New Roman" w:hAnsi="Times New Roman" w:eastAsia="宋体" w:cs="Times New Roman"/>
      <w:sz w:val="18"/>
      <w:szCs w:val="18"/>
    </w:rPr>
  </w:style>
  <w:style w:type="character" w:customStyle="1" w:styleId="23">
    <w:name w:val="标题 2 字符"/>
    <w:basedOn w:val="16"/>
    <w:link w:val="4"/>
    <w:qFormat/>
    <w:uiPriority w:val="0"/>
    <w:rPr>
      <w:rFonts w:ascii="Arial" w:hAnsi="Arial" w:eastAsia="黑体" w:cs="Times New Roman"/>
      <w:b/>
      <w:bCs/>
      <w:kern w:val="0"/>
      <w:sz w:val="32"/>
      <w:szCs w:val="3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10"/>
    <w:semiHidden/>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2829</Words>
  <Characters>2955</Characters>
  <Lines>191</Lines>
  <Paragraphs>145</Paragraphs>
  <TotalTime>52</TotalTime>
  <ScaleCrop>false</ScaleCrop>
  <LinksUpToDate>false</LinksUpToDate>
  <CharactersWithSpaces>2958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2022-03-22T20:29:00Z</dcterms:created>
  <dc:creator>Y XW</dc:creator>
  <cp:lastModifiedBy>陈政</cp:lastModifiedBy>
  <cp:lastPrinted>2024-04-15T02:22:00Z</cp:lastPrinted>
  <dcterms:modified xsi:type="dcterms:W3CDTF">2026-06-18T14:58:55Z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BA5C95CA1F7A44BE930C6E8F703AF732_13</vt:lpwstr>
  </property>
  <property fmtid="{D5CDD505-2E9C-101B-9397-08002B2CF9AE}" pid="4" name="KSOTemplateDocerSaveRecord">
    <vt:lpwstr>eyJoZGlkIjoiNmI1MmM0ZmUxMzUyYWU0MDE0ZTFjNWMzOGVlM2JhYjgiLCJ1c2VySWQiOiI0MjI4OTg5ODYifQ==</vt:lpwstr>
  </property>
</Properties>
</file>