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98" w:lineRule="auto"/>
        <w:jc w:val="left"/>
        <w:rPr>
          <w:rFonts w:hint="eastAsia" w:ascii="方正小标宋简体" w:hAnsi="方正小标宋简体" w:eastAsia="方正小标宋简体" w:cs="方正小标宋简体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附件1：</w:t>
      </w:r>
    </w:p>
    <w:p>
      <w:pPr>
        <w:spacing w:line="500" w:lineRule="exact"/>
        <w:jc w:val="center"/>
        <w:rPr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服务类评分标准</w:t>
      </w:r>
    </w:p>
    <w:p>
      <w:pPr>
        <w:pStyle w:val="2"/>
        <w:rPr>
          <w:rFonts w:hint="eastAsia" w:hAnsi="宋体" w:cs="宋体"/>
        </w:rPr>
      </w:pPr>
    </w:p>
    <w:p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一、评分选取方式</w:t>
      </w:r>
    </w:p>
    <w:p>
      <w:pPr>
        <w:spacing w:before="200" w:line="397" w:lineRule="auto"/>
        <w:ind w:left="55" w:firstLine="409"/>
        <w:rPr>
          <w:rFonts w:hint="eastAsia" w:ascii="宋体" w:hAnsi="宋体" w:cs="宋体"/>
        </w:rPr>
      </w:pPr>
      <w:r>
        <w:rPr>
          <w:rFonts w:hint="eastAsia" w:asciiTheme="minorEastAsia" w:hAnsiTheme="minorEastAsia" w:eastAsiaTheme="minorEastAsia" w:cstheme="minorEastAsia"/>
          <w:spacing w:val="-13"/>
          <w:sz w:val="21"/>
          <w:szCs w:val="21"/>
        </w:rPr>
        <w:t>本次采购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评分小组先对报名的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投标单位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进行初步评审；然后对满足初步评审要求报名的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投标单位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，按照详细评审规定的评分标准进行打分</w:t>
      </w:r>
      <w:r>
        <w:rPr>
          <w:rFonts w:hint="eastAsia" w:ascii="宋体" w:hAnsi="宋体" w:cs="宋体"/>
        </w:rPr>
        <w:t>。</w:t>
      </w:r>
    </w:p>
    <w:p>
      <w:pPr>
        <w:spacing w:before="3" w:line="399" w:lineRule="auto"/>
        <w:ind w:left="55" w:right="184" w:firstLine="409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评分小组成员对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投标单位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的详细评审各评审因素进行评分，计算出各评审因素的算术平均值后合计总和作为该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投标单位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的得分，并按得分由高到低顺序推荐中选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投标单位</w:t>
      </w:r>
      <w:r>
        <w:rPr>
          <w:rFonts w:hint="eastAsia" w:asciiTheme="minorEastAsia" w:hAnsiTheme="minorEastAsia" w:eastAsiaTheme="minorEastAsia" w:cstheme="minorEastAsia"/>
          <w:spacing w:val="-11"/>
          <w:sz w:val="21"/>
          <w:szCs w:val="21"/>
        </w:rPr>
        <w:t>。</w:t>
      </w:r>
    </w:p>
    <w:p>
      <w:pPr>
        <w:spacing w:line="219" w:lineRule="auto"/>
        <w:ind w:firstLine="420" w:firstLineChars="200"/>
        <w:rPr>
          <w:rFonts w:ascii="宋体" w:hAnsi="宋体" w:cs="宋体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如有两家或以上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投标单位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的综合得分相同且得分均为最高，评分小组视供应商的情况综合比较，投票确定其名次</w:t>
      </w:r>
      <w:r>
        <w:rPr>
          <w:rFonts w:hint="eastAsia" w:asciiTheme="minorEastAsia" w:hAnsiTheme="minorEastAsia" w:eastAsiaTheme="minorEastAsia" w:cstheme="minorEastAsia"/>
          <w:spacing w:val="-10"/>
          <w:sz w:val="21"/>
          <w:szCs w:val="21"/>
        </w:rPr>
        <w:t>。</w:t>
      </w:r>
    </w:p>
    <w:p>
      <w:pPr>
        <w:spacing w:line="360" w:lineRule="auto"/>
        <w:ind w:firstLine="420" w:firstLineChars="200"/>
        <w:rPr>
          <w:rFonts w:hint="eastAsia"/>
        </w:rPr>
      </w:pPr>
      <w:r>
        <w:rPr>
          <w:rFonts w:hint="eastAsia" w:ascii="宋体" w:hAnsi="宋体" w:cs="宋体"/>
        </w:rPr>
        <w:t>二、初步评审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6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0" w:hRule="atLeast"/>
        </w:trPr>
        <w:tc>
          <w:tcPr>
            <w:tcW w:w="1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评审因素</w:t>
            </w:r>
          </w:p>
        </w:tc>
        <w:tc>
          <w:tcPr>
            <w:tcW w:w="671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809" w:type="dxa"/>
            <w:noWrap w:val="0"/>
            <w:vAlign w:val="center"/>
          </w:tcPr>
          <w:p>
            <w:pPr>
              <w:adjustRightInd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资质</w:t>
            </w:r>
          </w:p>
        </w:tc>
        <w:tc>
          <w:tcPr>
            <w:tcW w:w="6713" w:type="dxa"/>
            <w:noWrap w:val="0"/>
            <w:vAlign w:val="center"/>
          </w:tcPr>
          <w:p>
            <w:pPr>
              <w:pStyle w:val="2"/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（1）在有效期内的单位营业执照且具备相应行业资质。</w:t>
            </w:r>
          </w:p>
          <w:p>
            <w:pPr>
              <w:pStyle w:val="2"/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（2）服务承诺。</w:t>
            </w:r>
          </w:p>
          <w:p>
            <w:pPr>
              <w:pStyle w:val="2"/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（3）机构介绍。</w:t>
            </w:r>
          </w:p>
          <w:p>
            <w:pPr>
              <w:adjustRightInd/>
              <w:spacing w:line="360" w:lineRule="auto"/>
              <w:jc w:val="both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（4）不属于回避单位。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</w:trPr>
        <w:tc>
          <w:tcPr>
            <w:tcW w:w="1809" w:type="dxa"/>
            <w:noWrap w:val="0"/>
            <w:vAlign w:val="center"/>
          </w:tcPr>
          <w:p>
            <w:pPr>
              <w:adjustRightInd/>
              <w:spacing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信用</w:t>
            </w:r>
          </w:p>
        </w:tc>
        <w:tc>
          <w:tcPr>
            <w:tcW w:w="6713" w:type="dxa"/>
            <w:noWrap w:val="0"/>
            <w:vAlign w:val="center"/>
          </w:tcPr>
          <w:p>
            <w:pPr>
              <w:adjustRightInd/>
              <w:spacing w:line="360" w:lineRule="auto"/>
              <w:jc w:val="both"/>
              <w:textAlignment w:val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（1）</w:t>
            </w:r>
            <w:r>
              <w:rPr>
                <w:rFonts w:hint="eastAsia" w:ascii="宋体" w:hAnsi="宋体" w:cs="宋体"/>
                <w:lang w:val="en-US" w:eastAsia="zh-CN"/>
              </w:rPr>
              <w:t>投标单位</w:t>
            </w:r>
            <w:r>
              <w:rPr>
                <w:rFonts w:hint="eastAsia" w:ascii="宋体" w:hAnsi="宋体" w:cs="宋体"/>
              </w:rPr>
              <w:t>在国家企业信用信息公示系统中未被列入严重违法失信企业名单；</w:t>
            </w:r>
          </w:p>
          <w:p>
            <w:pPr>
              <w:adjustRightInd/>
              <w:spacing w:line="360" w:lineRule="auto"/>
              <w:jc w:val="both"/>
              <w:textAlignment w:val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（2）在“信用中国”网站或地方信用网站的信用信息报告无不良记录。</w:t>
            </w:r>
          </w:p>
          <w:p>
            <w:pPr>
              <w:adjustRightInd/>
              <w:spacing w:line="360" w:lineRule="auto"/>
              <w:jc w:val="both"/>
              <w:textAlignment w:val="auto"/>
              <w:rPr>
                <w:rFonts w:hint="eastAsia" w:ascii="宋体" w:hAnsi="宋体" w:cs="宋体"/>
              </w:rPr>
            </w:pPr>
          </w:p>
          <w:p>
            <w:pPr>
              <w:adjustRightInd/>
              <w:spacing w:line="360" w:lineRule="auto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cs="宋体"/>
              </w:rPr>
              <w:t>注：如</w:t>
            </w:r>
            <w:r>
              <w:rPr>
                <w:rFonts w:hint="eastAsia" w:ascii="宋体" w:hAnsi="宋体" w:cs="宋体"/>
                <w:lang w:val="en-US" w:eastAsia="zh-CN"/>
              </w:rPr>
              <w:t>投标单位</w:t>
            </w:r>
            <w:r>
              <w:rPr>
                <w:rFonts w:hint="eastAsia" w:ascii="宋体" w:hAnsi="宋体" w:cs="宋体"/>
              </w:rPr>
              <w:t>未提交上述证明材料，则由评选小组核查；如</w:t>
            </w:r>
            <w:r>
              <w:rPr>
                <w:rFonts w:hint="eastAsia" w:ascii="宋体" w:hAnsi="宋体" w:cs="宋体"/>
                <w:lang w:val="en-US" w:eastAsia="zh-CN"/>
              </w:rPr>
              <w:t>投标单位</w:t>
            </w:r>
            <w:r>
              <w:rPr>
                <w:rFonts w:hint="eastAsia" w:ascii="宋体" w:hAnsi="宋体" w:cs="宋体"/>
              </w:rPr>
              <w:t>为事业单位，无法提供国家企业信用信息公示系统截图，则视作通过。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809" w:type="dxa"/>
            <w:noWrap w:val="0"/>
            <w:vAlign w:val="center"/>
          </w:tcPr>
          <w:p>
            <w:pPr>
              <w:adjustRightInd/>
              <w:spacing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报价</w:t>
            </w:r>
          </w:p>
        </w:tc>
        <w:tc>
          <w:tcPr>
            <w:tcW w:w="6713" w:type="dxa"/>
            <w:noWrap w:val="0"/>
            <w:vAlign w:val="center"/>
          </w:tcPr>
          <w:p>
            <w:pPr>
              <w:adjustRightInd/>
              <w:spacing w:line="360" w:lineRule="auto"/>
              <w:jc w:val="both"/>
              <w:rPr>
                <w:rFonts w:hint="eastAsia" w:ascii="宋体" w:hAnsi="宋体" w:cs="宋体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报价金额不超过该项采购预算金额，或在采购报价区间范围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内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eastAsia="zh-CN"/>
              </w:rPr>
              <w:t>。</w:t>
            </w:r>
          </w:p>
        </w:tc>
      </w:tr>
    </w:tbl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pacing w:line="360" w:lineRule="auto"/>
        <w:ind w:firstLine="420" w:firstLineChars="200"/>
      </w:pPr>
      <w:r>
        <w:rPr>
          <w:rFonts w:hint="eastAsia" w:ascii="宋体" w:hAnsi="宋体" w:cs="宋体"/>
        </w:rPr>
        <w:t>三、详细评审</w:t>
      </w:r>
    </w:p>
    <w:tbl>
      <w:tblPr>
        <w:tblStyle w:val="3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551"/>
        <w:gridCol w:w="5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4171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b/>
              </w:rPr>
            </w:pPr>
            <w:r>
              <w:br w:type="page"/>
            </w:r>
            <w:r>
              <w:rPr>
                <w:rFonts w:hint="eastAsia" w:ascii="宋体" w:hAnsi="宋体" w:cs="宋体"/>
                <w:b/>
              </w:rPr>
              <w:t>评审因素与评分值</w:t>
            </w:r>
          </w:p>
        </w:tc>
        <w:tc>
          <w:tcPr>
            <w:tcW w:w="5389" w:type="dxa"/>
            <w:vMerge w:val="restart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评审因素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分值</w:t>
            </w:r>
          </w:p>
        </w:tc>
        <w:tc>
          <w:tcPr>
            <w:tcW w:w="5389" w:type="dxa"/>
            <w:vMerge w:val="continue"/>
            <w:noWrap w:val="0"/>
            <w:vAlign w:val="center"/>
          </w:tcPr>
          <w:p>
            <w:pPr>
              <w:spacing w:line="276" w:lineRule="auto"/>
              <w:jc w:val="both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7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adjustRightInd/>
              <w:spacing w:line="276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技术（方案）</w:t>
            </w:r>
          </w:p>
          <w:p>
            <w:pPr>
              <w:adjustRightInd/>
              <w:spacing w:line="276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建议书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adjustRightInd/>
              <w:spacing w:line="276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  <w:lang w:val="en-US" w:eastAsia="zh-CN"/>
              </w:rPr>
              <w:t>5</w:t>
            </w:r>
          </w:p>
        </w:tc>
        <w:tc>
          <w:tcPr>
            <w:tcW w:w="5389" w:type="dxa"/>
            <w:noWrap w:val="0"/>
            <w:vAlign w:val="center"/>
          </w:tcPr>
          <w:p>
            <w:pPr>
              <w:pStyle w:val="6"/>
              <w:spacing w:before="76" w:line="303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根据对服务工作范围和任务描述准确程度和总体思路清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1"/>
                <w:szCs w:val="21"/>
              </w:rPr>
              <w:t>晰、切实可行程度，经营规模、经营业绩、场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  <w:t>所面积、人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1"/>
                <w:szCs w:val="21"/>
              </w:rPr>
              <w:t>员资质状况、维修设备情况、对技术问题的处理措施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  <w:t>、工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1"/>
                <w:szCs w:val="21"/>
              </w:rPr>
              <w:t>作计划、安排的合理程度、质量保证措施等是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  <w:t>否完善、可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行，是否符合采购需求等进行综合比较，</w:t>
            </w:r>
          </w:p>
          <w:p>
            <w:pPr>
              <w:pStyle w:val="6"/>
              <w:spacing w:before="14" w:line="216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1"/>
                <w:szCs w:val="21"/>
              </w:rPr>
              <w:t>优：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1"/>
                <w:szCs w:val="21"/>
              </w:rPr>
              <w:t>&lt;得分≤25,</w:t>
            </w:r>
          </w:p>
          <w:p>
            <w:pPr>
              <w:pStyle w:val="6"/>
              <w:spacing w:before="92" w:line="216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1"/>
                <w:szCs w:val="21"/>
              </w:rPr>
              <w:t>良：1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1"/>
                <w:szCs w:val="21"/>
              </w:rPr>
              <w:t>&lt;得分≤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1"/>
                <w:szCs w:val="21"/>
              </w:rPr>
              <w:t>,</w:t>
            </w:r>
          </w:p>
          <w:p>
            <w:pPr>
              <w:pStyle w:val="6"/>
              <w:spacing w:before="92" w:line="216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</w:rPr>
              <w:t>般：得分=1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</w:rPr>
              <w:t>,</w:t>
            </w:r>
          </w:p>
          <w:p>
            <w:pPr>
              <w:pStyle w:val="2"/>
              <w:rPr>
                <w:rFonts w:hint="eastAsia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未提交：0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adjustRightInd/>
              <w:spacing w:line="276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企业业绩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adjustRightInd/>
              <w:spacing w:line="276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  <w:lang w:val="en-US" w:eastAsia="zh-CN"/>
              </w:rPr>
              <w:t>5</w:t>
            </w:r>
          </w:p>
        </w:tc>
        <w:tc>
          <w:tcPr>
            <w:tcW w:w="5389" w:type="dxa"/>
            <w:noWrap w:val="0"/>
            <w:vAlign w:val="center"/>
          </w:tcPr>
          <w:p>
            <w:pPr>
              <w:pStyle w:val="6"/>
              <w:spacing w:before="160" w:line="219" w:lineRule="auto"/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根据投标单位提供的类似项目业绩，综合比较打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分，</w:t>
            </w:r>
          </w:p>
          <w:p>
            <w:pPr>
              <w:pStyle w:val="6"/>
              <w:spacing w:before="160" w:line="219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1"/>
                <w:szCs w:val="21"/>
              </w:rPr>
              <w:t>优：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1"/>
                <w:szCs w:val="21"/>
              </w:rPr>
              <w:t>&lt;得分≤25,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</w:p>
          <w:p>
            <w:pPr>
              <w:pStyle w:val="6"/>
              <w:spacing w:before="160" w:line="219" w:lineRule="auto"/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1"/>
                <w:szCs w:val="21"/>
              </w:rPr>
              <w:t>良：1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1"/>
                <w:szCs w:val="21"/>
              </w:rPr>
              <w:t>&lt;得分≤20,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 xml:space="preserve"> </w:t>
            </w:r>
          </w:p>
          <w:p>
            <w:pPr>
              <w:pStyle w:val="6"/>
              <w:spacing w:before="160" w:line="219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1"/>
                <w:szCs w:val="21"/>
              </w:rPr>
              <w:t>一般：得分=15,</w:t>
            </w:r>
          </w:p>
          <w:p>
            <w:pPr>
              <w:pStyle w:val="2"/>
              <w:rPr>
                <w:rFonts w:hint="eastAsia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未提交：0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adjustRightInd/>
              <w:spacing w:line="276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拟投入主要人员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adjustRightInd/>
              <w:spacing w:line="276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25</w:t>
            </w:r>
          </w:p>
        </w:tc>
        <w:tc>
          <w:tcPr>
            <w:tcW w:w="5389" w:type="dxa"/>
            <w:noWrap w:val="0"/>
            <w:vAlign w:val="center"/>
          </w:tcPr>
          <w:p>
            <w:pPr>
              <w:pStyle w:val="6"/>
              <w:spacing w:before="142" w:line="219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根据投标单位提供的人员任职资格，综合比较打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分，</w:t>
            </w:r>
          </w:p>
          <w:p>
            <w:pPr>
              <w:pStyle w:val="6"/>
              <w:spacing w:before="106" w:line="298" w:lineRule="auto"/>
              <w:ind w:right="3316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</w:rPr>
              <w:t>优：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1"/>
                <w:szCs w:val="21"/>
              </w:rPr>
              <w:t>&lt;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</w:rPr>
              <w:t>得分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1"/>
                <w:szCs w:val="21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</w:rPr>
              <w:t>25,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1"/>
                <w:szCs w:val="21"/>
              </w:rPr>
              <w:t>良：1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1"/>
                <w:szCs w:val="21"/>
              </w:rPr>
              <w:t>&lt;得分≤20,</w:t>
            </w:r>
          </w:p>
          <w:p>
            <w:pPr>
              <w:pStyle w:val="6"/>
              <w:spacing w:line="216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1"/>
                <w:szCs w:val="21"/>
              </w:rPr>
              <w:t>一般：得分=15,</w:t>
            </w:r>
          </w:p>
          <w:p>
            <w:pPr>
              <w:pStyle w:val="2"/>
              <w:rPr>
                <w:rFonts w:hint="eastAsia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未提交：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adjustRightInd/>
              <w:spacing w:line="276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 w:cs="宋体"/>
              </w:rPr>
              <w:t>报价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adjustRightInd/>
              <w:spacing w:line="276" w:lineRule="auto"/>
              <w:jc w:val="center"/>
              <w:rPr>
                <w:rFonts w:hint="default" w:ascii="宋体" w:hAnsi="宋体" w:cs="宋体"/>
                <w:lang w:val="en-US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25</w:t>
            </w:r>
          </w:p>
        </w:tc>
        <w:tc>
          <w:tcPr>
            <w:tcW w:w="5389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u w:val="none"/>
              </w:rPr>
              <w:t>得分计算公式：</w:t>
            </w:r>
          </w:p>
          <w:p>
            <w:pPr>
              <w:pStyle w:val="2"/>
              <w:rPr>
                <w:rFonts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u w:val="none"/>
                <w:lang w:val="en-US" w:eastAsia="zh-CN"/>
              </w:rPr>
              <w:t>加权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u w:val="none"/>
              </w:rPr>
              <w:t>得分=最低报价/投标报价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u w:val="none"/>
                <w:lang w:val="en-US" w:eastAsia="zh-CN"/>
              </w:rPr>
              <w:t>*25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u w:val="none"/>
              </w:rPr>
              <w:t>，按此计算得出所有报价分值（取2位小数）。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合计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adjustRightInd/>
              <w:spacing w:line="276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5389" w:type="dxa"/>
            <w:noWrap w:val="0"/>
            <w:vAlign w:val="center"/>
          </w:tcPr>
          <w:p>
            <w:pPr>
              <w:adjustRightInd/>
              <w:spacing w:line="276" w:lineRule="auto"/>
              <w:jc w:val="both"/>
              <w:rPr>
                <w:rFonts w:ascii="宋体" w:hAnsi="宋体" w:cs="宋体"/>
                <w:lang w:val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OTcxOTU3NzhjNmU3ZDk0OTBkMzYzZTFmMTYxNTQifQ=="/>
    <w:docVar w:name="KSO_WPS_MARK_KEY" w:val="6b6bd6b8-04a6-4195-a0de-3e5cf476066b"/>
  </w:docVars>
  <w:rsids>
    <w:rsidRoot w:val="5DC63C20"/>
    <w:rsid w:val="27FD07E2"/>
    <w:rsid w:val="400A31D8"/>
    <w:rsid w:val="4E434A6F"/>
    <w:rsid w:val="5DC63C20"/>
    <w:rsid w:val="FBAF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769</Words>
  <Characters>810</Characters>
  <Lines>0</Lines>
  <Paragraphs>0</Paragraphs>
  <TotalTime>1</TotalTime>
  <ScaleCrop>false</ScaleCrop>
  <LinksUpToDate>false</LinksUpToDate>
  <CharactersWithSpaces>813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2024-05-23T10:55:00Z</dcterms:created>
  <dc:creator>Administrator</dc:creator>
  <cp:lastModifiedBy>咕噜.</cp:lastModifiedBy>
  <dcterms:modified xsi:type="dcterms:W3CDTF">2026-05-31T09:04:16Z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8A10A69E5D48426FAE3B18253D5B2C84_13</vt:lpwstr>
  </property>
</Properties>
</file>