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exact"/>
        <w:jc w:val="center"/>
        <w:rPr>
          <w:rFonts w:ascii="Times New Roman" w:eastAsia="方正大标宋_GBK"/>
          <w:b w:val="0"/>
          <w:bCs/>
          <w:color w:val="auto"/>
          <w:sz w:val="42"/>
          <w:szCs w:val="42"/>
        </w:rPr>
      </w:pPr>
      <w:r>
        <w:rPr>
          <w:rFonts w:hint="eastAsia" w:ascii="Times New Roman" w:eastAsia="方正大标宋_GBK"/>
          <w:b w:val="0"/>
          <w:bCs/>
          <w:color w:val="auto"/>
          <w:sz w:val="42"/>
          <w:szCs w:val="42"/>
        </w:rPr>
        <w:t>2026</w:t>
      </w:r>
      <w:r>
        <w:rPr>
          <w:rFonts w:ascii="Times New Roman" w:eastAsia="方正大标宋_GBK"/>
          <w:b w:val="0"/>
          <w:bCs/>
          <w:color w:val="auto"/>
          <w:sz w:val="42"/>
          <w:szCs w:val="42"/>
        </w:rPr>
        <w:t>年江门市住房公积金管理中心</w:t>
      </w:r>
    </w:p>
    <w:p>
      <w:pPr>
        <w:pStyle w:val="2"/>
        <w:spacing w:before="0" w:after="0" w:line="480" w:lineRule="exact"/>
        <w:jc w:val="center"/>
        <w:rPr>
          <w:rFonts w:ascii="Times New Roman" w:eastAsia="方正大标宋_GBK"/>
          <w:b w:val="0"/>
          <w:bCs/>
          <w:color w:val="auto"/>
          <w:sz w:val="42"/>
          <w:szCs w:val="42"/>
        </w:rPr>
      </w:pPr>
      <w:r>
        <w:rPr>
          <w:rFonts w:ascii="Times New Roman" w:eastAsia="方正大标宋_GBK"/>
          <w:b w:val="0"/>
          <w:bCs/>
          <w:color w:val="auto"/>
          <w:sz w:val="42"/>
          <w:szCs w:val="42"/>
        </w:rPr>
        <w:t>信息系统运维服务项目采购方案</w:t>
      </w:r>
    </w:p>
    <w:p>
      <w:pPr>
        <w:rPr>
          <w:rFonts w:ascii="Times New Roman" w:hAnsi="Times New Roman"/>
          <w:color w:val="auto"/>
          <w:lang w:val="zh-CN"/>
        </w:rPr>
      </w:pP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lang w:val="en-US"/>
        </w:rPr>
        <w:t>为</w:t>
      </w:r>
      <w:r>
        <w:rPr>
          <w:rFonts w:ascii="Times New Roman" w:hAnsi="Times New Roman" w:eastAsia="方正仿宋_GBK"/>
          <w:color w:val="auto"/>
          <w:sz w:val="30"/>
          <w:szCs w:val="30"/>
        </w:rPr>
        <w:t>保障住房公积金信息管理系统的稳定运行，保障住房公积金业务的顺利开展，拟进行本年度“江门市住房公积金管理中心</w:t>
      </w:r>
      <w:r>
        <w:rPr>
          <w:rFonts w:hint="eastAsia" w:ascii="Times New Roman" w:hAnsi="Times New Roman" w:eastAsia="方正仿宋_GBK"/>
          <w:color w:val="auto"/>
          <w:sz w:val="30"/>
          <w:szCs w:val="30"/>
        </w:rPr>
        <w:t>2026</w:t>
      </w:r>
      <w:r>
        <w:rPr>
          <w:rFonts w:ascii="Times New Roman" w:hAnsi="Times New Roman" w:eastAsia="方正仿宋_GBK"/>
          <w:color w:val="auto"/>
          <w:sz w:val="30"/>
          <w:szCs w:val="30"/>
        </w:rPr>
        <w:t>年信息系统运维服务项目”采购工作。</w:t>
      </w:r>
    </w:p>
    <w:p>
      <w:pPr>
        <w:pStyle w:val="5"/>
        <w:spacing w:line="580" w:lineRule="exact"/>
        <w:ind w:firstLine="600" w:firstLineChars="200"/>
        <w:outlineLvl w:val="1"/>
        <w:rPr>
          <w:rFonts w:ascii="Times New Roman" w:hAnsi="Times New Roman" w:eastAsia="方正黑体_GBK"/>
          <w:color w:val="auto"/>
          <w:sz w:val="30"/>
          <w:szCs w:val="30"/>
        </w:rPr>
      </w:pPr>
      <w:r>
        <w:rPr>
          <w:rFonts w:ascii="Times New Roman" w:hAnsi="Times New Roman" w:eastAsia="方正黑体_GBK"/>
          <w:color w:val="auto"/>
          <w:sz w:val="30"/>
          <w:szCs w:val="30"/>
          <w:lang w:val="en-US"/>
        </w:rPr>
        <w:t>一、</w:t>
      </w:r>
      <w:r>
        <w:rPr>
          <w:rFonts w:ascii="Times New Roman" w:hAnsi="Times New Roman" w:eastAsia="方正黑体_GBK"/>
          <w:color w:val="auto"/>
          <w:sz w:val="30"/>
          <w:szCs w:val="30"/>
        </w:rPr>
        <w:t>项目服务内容及要求</w:t>
      </w:r>
    </w:p>
    <w:p>
      <w:pPr>
        <w:pStyle w:val="5"/>
        <w:spacing w:line="580" w:lineRule="exact"/>
        <w:ind w:firstLine="600" w:firstLineChars="200"/>
        <w:outlineLvl w:val="2"/>
        <w:rPr>
          <w:rFonts w:ascii="Times New Roman" w:hAnsi="Times New Roman" w:eastAsia="方正楷体_GBK"/>
          <w:color w:val="auto"/>
          <w:sz w:val="30"/>
          <w:szCs w:val="30"/>
        </w:rPr>
      </w:pPr>
      <w:r>
        <w:rPr>
          <w:rFonts w:ascii="Times New Roman" w:hAnsi="Times New Roman" w:eastAsia="方正楷体_GBK"/>
          <w:color w:val="auto"/>
          <w:sz w:val="30"/>
          <w:szCs w:val="30"/>
        </w:rPr>
        <w:t>（一）日常运维工作内容</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供应商负责江门市住房公积金管理中心双贯标系统（包括</w:t>
      </w:r>
      <w:r>
        <w:rPr>
          <w:rFonts w:ascii="Times New Roman" w:hAnsi="Times New Roman" w:eastAsia="方正仿宋_GBK"/>
          <w:color w:val="auto"/>
          <w:sz w:val="30"/>
          <w:szCs w:val="30"/>
          <w:lang w:val="en-US"/>
        </w:rPr>
        <w:t>财务系统、</w:t>
      </w:r>
      <w:r>
        <w:rPr>
          <w:rFonts w:ascii="Times New Roman" w:hAnsi="Times New Roman" w:eastAsia="方正仿宋_GBK"/>
          <w:color w:val="auto"/>
          <w:sz w:val="30"/>
          <w:szCs w:val="30"/>
        </w:rPr>
        <w:t>归集提取系统、贷款系统、公共系统等4个子系统）、智慧公积金服务接口（含单位业务和个人业务）、数据上报接口的日常运维工作。具体内容详见附件</w:t>
      </w:r>
      <w:r>
        <w:rPr>
          <w:rFonts w:ascii="Times New Roman" w:hAnsi="Times New Roman" w:eastAsia="方正仿宋_GBK"/>
          <w:color w:val="auto"/>
          <w:sz w:val="30"/>
          <w:szCs w:val="30"/>
          <w:lang w:val="en-US"/>
        </w:rPr>
        <w:t>二</w:t>
      </w:r>
      <w:r>
        <w:rPr>
          <w:rFonts w:ascii="Times New Roman" w:hAnsi="Times New Roman" w:eastAsia="方正仿宋_GBK"/>
          <w:color w:val="auto"/>
          <w:sz w:val="30"/>
          <w:szCs w:val="30"/>
        </w:rPr>
        <w:t>。</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lang w:val="en-US"/>
        </w:rPr>
        <w:t>1</w:t>
      </w:r>
      <w:r>
        <w:rPr>
          <w:rFonts w:ascii="Times New Roman" w:hAnsi="Times New Roman" w:eastAsia="方正仿宋_GBK"/>
          <w:color w:val="auto"/>
          <w:sz w:val="30"/>
          <w:szCs w:val="30"/>
        </w:rPr>
        <w:t>.业务系统软件维护</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供应商应密切跟踪系统的运行情况，对于因软件设计缺陷导致的各种数据错误、滞后、缺漏，以及业务模块功能繁琐等，供应商应通过派工程师到现场或其他方式配合采购人检查并解决，供应商维护时须按照本合同要求进行。</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lang w:val="en-US"/>
        </w:rPr>
        <w:t>2</w:t>
      </w:r>
      <w:r>
        <w:rPr>
          <w:rFonts w:ascii="Times New Roman" w:hAnsi="Times New Roman" w:eastAsia="方正仿宋_GBK"/>
          <w:color w:val="auto"/>
          <w:sz w:val="30"/>
          <w:szCs w:val="30"/>
        </w:rPr>
        <w:t>.系统突发事件及其排除</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业务软件出现突发事件时，接到采购人通知后，供应商应在第一时间协助采购人进行处理，若二小时内无法排除故障且确有必要的，供应商须派熟悉该系统的工程师赶赴现场协助解决。供应商工程师赶赴现场解决问题后，采购人有权对处理结果进行验收，验收合格的采购人应确认处理结果；验收不合格的，供应商应一直处理直至故障完全排除为止。</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lang w:val="en-US"/>
        </w:rPr>
        <w:t>3</w:t>
      </w:r>
      <w:r>
        <w:rPr>
          <w:rFonts w:ascii="Times New Roman" w:hAnsi="Times New Roman" w:eastAsia="方正仿宋_GBK"/>
          <w:color w:val="auto"/>
          <w:sz w:val="30"/>
          <w:szCs w:val="30"/>
        </w:rPr>
        <w:t>.业务系统软件维护报告</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供应商根据本合同要求，提供每月巡检服务，并提供季度服务报告，包括业务软件维护情况统计报告（报告内容要至少包含但不限于维护提交数量、修改数量、新增功能数量），并根据运行情况，对系统运行性能和容量变化等进行针对性的分析，当预计到系统需要升级版本或扩容时，应在该报告中提醒采购人并制定出可行的应对方案。</w:t>
      </w:r>
    </w:p>
    <w:p>
      <w:pPr>
        <w:pStyle w:val="5"/>
        <w:spacing w:line="580" w:lineRule="exact"/>
        <w:ind w:firstLine="600" w:firstLineChars="200"/>
        <w:outlineLvl w:val="2"/>
        <w:rPr>
          <w:rFonts w:ascii="Times New Roman" w:hAnsi="Times New Roman" w:eastAsia="方正楷体_GBK"/>
          <w:color w:val="auto"/>
          <w:sz w:val="30"/>
          <w:szCs w:val="30"/>
        </w:rPr>
      </w:pPr>
      <w:r>
        <w:rPr>
          <w:rFonts w:ascii="Times New Roman" w:hAnsi="Times New Roman" w:eastAsia="方正楷体_GBK"/>
          <w:color w:val="auto"/>
          <w:sz w:val="30"/>
          <w:szCs w:val="30"/>
        </w:rPr>
        <w:t>（二）运维工作要求和服务方式</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供应商应配备熟悉住房公积金业务及系统软件方面的人员以保障运维工作的质量，供应商应成立项目组并提供相关人员名单，服务人员应相对固定。</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1.电话支持</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供应商为采购人提供7天×24小时电话技术支持服务，协助解答采购人提出的各种技术问题，包括技术咨询、指导和信息提供等。</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2.远程支持</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经采购人同意且条件允许情况下，供应商可通过远程专线网络连接的方式进行远程维护和指导解决问题。</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3.现场服务</w:t>
      </w:r>
    </w:p>
    <w:p>
      <w:pPr>
        <w:pStyle w:val="5"/>
        <w:spacing w:line="580" w:lineRule="exact"/>
        <w:ind w:firstLine="600" w:firstLineChars="200"/>
        <w:rPr>
          <w:rFonts w:ascii="Times New Roman" w:hAnsi="Times New Roman" w:eastAsia="方正仿宋_GBK"/>
          <w:color w:val="auto"/>
          <w:sz w:val="30"/>
          <w:szCs w:val="30"/>
          <w:lang w:val="en-US"/>
        </w:rPr>
      </w:pPr>
      <w:r>
        <w:rPr>
          <w:rFonts w:ascii="Times New Roman" w:hAnsi="Times New Roman" w:eastAsia="方正仿宋_GBK"/>
          <w:color w:val="auto"/>
          <w:sz w:val="30"/>
          <w:szCs w:val="30"/>
        </w:rPr>
        <w:t>供应商安排</w:t>
      </w:r>
      <w:r>
        <w:rPr>
          <w:rFonts w:hint="eastAsia" w:ascii="Times New Roman" w:hAnsi="Times New Roman" w:eastAsia="方正仿宋_GBK"/>
          <w:color w:val="auto"/>
          <w:sz w:val="30"/>
          <w:szCs w:val="30"/>
          <w:lang w:val="en-US"/>
        </w:rPr>
        <w:t>1</w:t>
      </w:r>
      <w:r>
        <w:rPr>
          <w:rFonts w:ascii="Times New Roman" w:hAnsi="Times New Roman" w:eastAsia="方正仿宋_GBK"/>
          <w:color w:val="auto"/>
          <w:sz w:val="30"/>
          <w:szCs w:val="30"/>
        </w:rPr>
        <w:t>名人员，向采购人提供驻场维护技术支持工作，作息时间与采购人保持一致。</w:t>
      </w:r>
      <w:r>
        <w:rPr>
          <w:rFonts w:hint="eastAsia" w:ascii="Times New Roman" w:hAnsi="Times New Roman" w:eastAsia="方正仿宋_GBK"/>
          <w:color w:val="auto"/>
          <w:sz w:val="30"/>
          <w:szCs w:val="30"/>
        </w:rPr>
        <w:t>遇有特殊情况（例信息化攻防演习、临时任务等），按采购方人员和时间要求落实。</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4.系统软件安装和系统变更的技术支持</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供应商提供系统软件的安装指导，包括：提供电话支持、远程或现场检查、咨询等。</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5.工作确认</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采购人在</w:t>
      </w:r>
      <w:r>
        <w:rPr>
          <w:rFonts w:ascii="Times New Roman" w:hAnsi="Times New Roman" w:eastAsia="方正仿宋_GBK"/>
          <w:color w:val="auto"/>
          <w:sz w:val="30"/>
          <w:szCs w:val="30"/>
          <w:lang w:val="en-US"/>
        </w:rPr>
        <w:t>提供</w:t>
      </w:r>
      <w:r>
        <w:rPr>
          <w:rFonts w:ascii="Times New Roman" w:hAnsi="Times New Roman" w:eastAsia="方正仿宋_GBK"/>
          <w:color w:val="auto"/>
          <w:sz w:val="30"/>
          <w:szCs w:val="30"/>
        </w:rPr>
        <w:t>服务需求时，应通过工单系统提交，工单系统的记录作为服务确认的依据。</w:t>
      </w:r>
    </w:p>
    <w:p>
      <w:pPr>
        <w:pStyle w:val="5"/>
        <w:spacing w:line="580" w:lineRule="exact"/>
        <w:ind w:firstLine="600" w:firstLineChars="200"/>
        <w:outlineLvl w:val="2"/>
        <w:rPr>
          <w:rFonts w:ascii="Times New Roman" w:hAnsi="Times New Roman" w:eastAsia="方正楷体_GBK"/>
          <w:color w:val="auto"/>
          <w:sz w:val="30"/>
          <w:szCs w:val="30"/>
          <w:lang w:val="en-US"/>
        </w:rPr>
      </w:pPr>
      <w:r>
        <w:rPr>
          <w:rFonts w:ascii="Times New Roman" w:hAnsi="Times New Roman" w:eastAsia="方正楷体_GBK"/>
          <w:color w:val="auto"/>
          <w:sz w:val="30"/>
          <w:szCs w:val="30"/>
        </w:rPr>
        <w:t>（</w:t>
      </w:r>
      <w:r>
        <w:rPr>
          <w:rFonts w:hint="eastAsia" w:ascii="Times New Roman" w:hAnsi="Times New Roman" w:eastAsia="方正楷体_GBK"/>
          <w:color w:val="auto"/>
          <w:sz w:val="30"/>
          <w:szCs w:val="30"/>
          <w:lang w:val="en-US"/>
        </w:rPr>
        <w:t>三</w:t>
      </w:r>
      <w:r>
        <w:rPr>
          <w:rFonts w:ascii="Times New Roman" w:hAnsi="Times New Roman" w:eastAsia="方正楷体_GBK"/>
          <w:color w:val="auto"/>
          <w:sz w:val="30"/>
          <w:szCs w:val="30"/>
        </w:rPr>
        <w:t>）</w:t>
      </w:r>
      <w:r>
        <w:rPr>
          <w:rFonts w:hint="eastAsia" w:ascii="Times New Roman" w:hAnsi="Times New Roman" w:eastAsia="方正楷体_GBK"/>
          <w:color w:val="auto"/>
          <w:sz w:val="30"/>
          <w:szCs w:val="30"/>
          <w:lang w:val="en-US"/>
        </w:rPr>
        <w:t>网络安全等级保护测评服务和商用密码应用安全性评估服务需求</w:t>
      </w:r>
    </w:p>
    <w:p>
      <w:pPr>
        <w:spacing w:line="360" w:lineRule="auto"/>
        <w:ind w:firstLine="602" w:firstLineChars="200"/>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lang w:val="en-US" w:eastAsia="zh-CN"/>
        </w:rPr>
        <w:t>1.</w:t>
      </w:r>
      <w:r>
        <w:rPr>
          <w:rFonts w:hint="eastAsia" w:ascii="方正仿宋_GBK" w:hAnsi="方正仿宋_GBK" w:eastAsia="方正仿宋_GBK" w:cs="方正仿宋_GBK"/>
          <w:b/>
          <w:bCs/>
          <w:color w:val="auto"/>
          <w:sz w:val="30"/>
          <w:szCs w:val="30"/>
        </w:rPr>
        <w:t>网络安全等级保护</w:t>
      </w:r>
      <w:r>
        <w:rPr>
          <w:rFonts w:hint="eastAsia" w:ascii="方正仿宋_GBK" w:hAnsi="方正仿宋_GBK" w:eastAsia="方正仿宋_GBK" w:cs="方正仿宋_GBK"/>
          <w:b/>
          <w:bCs/>
          <w:color w:val="auto"/>
          <w:sz w:val="30"/>
          <w:szCs w:val="30"/>
          <w:lang w:eastAsia="zh-Hans"/>
        </w:rPr>
        <w:t>服务</w:t>
      </w:r>
      <w:r>
        <w:rPr>
          <w:rFonts w:hint="eastAsia" w:ascii="方正仿宋_GBK" w:hAnsi="方正仿宋_GBK" w:eastAsia="方正仿宋_GBK" w:cs="方正仿宋_GBK"/>
          <w:b/>
          <w:bCs/>
          <w:color w:val="auto"/>
          <w:sz w:val="30"/>
          <w:szCs w:val="30"/>
        </w:rPr>
        <w:t>要求</w:t>
      </w:r>
    </w:p>
    <w:p>
      <w:pPr>
        <w:pStyle w:val="24"/>
        <w:spacing w:line="360" w:lineRule="auto"/>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供应商协助</w:t>
      </w:r>
      <w:r>
        <w:rPr>
          <w:rFonts w:eastAsia="方正仿宋_GBK"/>
          <w:color w:val="auto"/>
          <w:sz w:val="30"/>
          <w:szCs w:val="30"/>
        </w:rPr>
        <w:t>采购人</w:t>
      </w:r>
      <w:r>
        <w:rPr>
          <w:rFonts w:hint="eastAsia" w:ascii="方正仿宋_GBK" w:hAnsi="方正仿宋_GBK" w:eastAsia="方正仿宋_GBK" w:cs="方正仿宋_GBK"/>
          <w:color w:val="auto"/>
          <w:sz w:val="30"/>
          <w:szCs w:val="30"/>
        </w:rPr>
        <w:t>按照《信息安全技术 网络安全等级保护基本要求》（GB/T 22239-2019）对江门市住房公积金双贯标系统进行安全整改，聘请具备网络安全服务认证证书等级保护测评服务认证的第三方测评机构对系统的的合规性和安全性进行测评，并取得第三方测评机构出具通过等保要求的网络安全等级保护等级测评报告。</w:t>
      </w:r>
    </w:p>
    <w:p>
      <w:pPr>
        <w:pStyle w:val="24"/>
        <w:spacing w:line="360" w:lineRule="auto"/>
        <w:ind w:firstLine="600" w:firstLineChars="200"/>
        <w:rPr>
          <w:rStyle w:val="25"/>
          <w:rFonts w:ascii="方正仿宋_GBK" w:hAnsi="方正仿宋_GBK" w:eastAsia="方正仿宋_GBK" w:cs="方正仿宋_GBK"/>
          <w:color w:val="auto"/>
          <w:sz w:val="30"/>
          <w:szCs w:val="30"/>
          <w:lang w:eastAsia="zh-Hans"/>
        </w:rPr>
      </w:pPr>
      <w:r>
        <w:rPr>
          <w:rStyle w:val="25"/>
          <w:rFonts w:hint="eastAsia" w:ascii="方正仿宋_GBK" w:hAnsi="方正仿宋_GBK" w:eastAsia="方正仿宋_GBK" w:cs="方正仿宋_GBK"/>
          <w:color w:val="auto"/>
          <w:sz w:val="30"/>
          <w:szCs w:val="30"/>
          <w:lang w:eastAsia="zh-Hans"/>
        </w:rPr>
        <w:t>网络安全等级保护测评应包括两个方面的内容：一是安全控制测评，主要测评信息安全等级保护要求的基本安全控制在信息系统中的实施配置情况；二是系统整体测评，主要测评分析信息系统的整体安全性。其中，安全控制测评是信息系统整体安全测评的基础。</w:t>
      </w:r>
    </w:p>
    <w:p>
      <w:pPr>
        <w:pStyle w:val="24"/>
        <w:spacing w:line="360" w:lineRule="auto"/>
        <w:ind w:firstLine="600" w:firstLineChars="200"/>
        <w:rPr>
          <w:rStyle w:val="25"/>
          <w:rFonts w:ascii="方正仿宋_GBK" w:hAnsi="方正仿宋_GBK" w:eastAsia="方正仿宋_GBK" w:cs="方正仿宋_GBK"/>
          <w:color w:val="auto"/>
          <w:sz w:val="30"/>
          <w:szCs w:val="30"/>
          <w:lang w:eastAsia="zh-Hans"/>
        </w:rPr>
      </w:pPr>
      <w:r>
        <w:rPr>
          <w:rStyle w:val="25"/>
          <w:rFonts w:hint="eastAsia" w:ascii="方正仿宋_GBK" w:hAnsi="方正仿宋_GBK" w:eastAsia="方正仿宋_GBK" w:cs="方正仿宋_GBK"/>
          <w:color w:val="auto"/>
          <w:sz w:val="30"/>
          <w:szCs w:val="30"/>
          <w:lang w:eastAsia="zh-Hans"/>
        </w:rPr>
        <w:t>安全控制测评使用测评单元方式组织，分为安全技术测评和安全管理测评两大类。安全技术测评包括：安全物理环境、安全通信网络、安全区域边界、安全计算环境和安全管理中心五个方面的安全控制测评；安全管理测评包括；安全管理制度、安全管理机构、安全管理人员、安全建设管理和系统运维管理五个方面的安全控制测评。</w:t>
      </w:r>
    </w:p>
    <w:p>
      <w:pPr>
        <w:pStyle w:val="24"/>
        <w:spacing w:line="360" w:lineRule="auto"/>
        <w:ind w:firstLine="600" w:firstLineChars="200"/>
        <w:rPr>
          <w:rStyle w:val="25"/>
          <w:rFonts w:ascii="方正仿宋_GBK" w:hAnsi="方正仿宋_GBK" w:eastAsia="方正仿宋_GBK" w:cs="方正仿宋_GBK"/>
          <w:color w:val="auto"/>
          <w:sz w:val="30"/>
          <w:szCs w:val="30"/>
          <w:lang w:eastAsia="zh-Hans"/>
        </w:rPr>
      </w:pPr>
      <w:r>
        <w:rPr>
          <w:rStyle w:val="25"/>
          <w:rFonts w:hint="eastAsia" w:ascii="方正仿宋_GBK" w:hAnsi="方正仿宋_GBK" w:eastAsia="方正仿宋_GBK" w:cs="方正仿宋_GBK"/>
          <w:color w:val="auto"/>
          <w:sz w:val="30"/>
          <w:szCs w:val="30"/>
          <w:lang w:eastAsia="zh-Hans"/>
        </w:rPr>
        <w:t>系统整体测评主要包括安全控制点间、层面间两部分。</w:t>
      </w:r>
    </w:p>
    <w:p>
      <w:pPr>
        <w:pStyle w:val="24"/>
        <w:spacing w:line="360" w:lineRule="auto"/>
        <w:ind w:firstLine="600" w:firstLineChars="200"/>
        <w:rPr>
          <w:rStyle w:val="25"/>
          <w:rFonts w:ascii="方正仿宋_GBK" w:hAnsi="方正仿宋_GBK" w:eastAsia="方正仿宋_GBK" w:cs="方正仿宋_GBK"/>
          <w:color w:val="auto"/>
          <w:sz w:val="30"/>
          <w:szCs w:val="30"/>
          <w:lang w:eastAsia="zh-Hans"/>
        </w:rPr>
      </w:pPr>
      <w:r>
        <w:rPr>
          <w:rStyle w:val="25"/>
          <w:rFonts w:hint="eastAsia" w:ascii="方正仿宋_GBK" w:hAnsi="方正仿宋_GBK" w:eastAsia="方正仿宋_GBK" w:cs="方正仿宋_GBK"/>
          <w:color w:val="auto"/>
          <w:sz w:val="30"/>
          <w:szCs w:val="30"/>
          <w:lang w:eastAsia="zh-Hans"/>
        </w:rPr>
        <w:t>根据被测系统信息系统的具体情况，结合标准要求，确定系统整体测评的具体内容，在安全控制测评的基础上，重点考虑安全控制间、层面间以及区域间的相互关联关系，测评安全控制间、层面间和区域间是否存在安全功能上的增强、补充和削弱作用以及信息系统整体结构安全性、不同信息系统之间整体安全性等。</w:t>
      </w:r>
    </w:p>
    <w:p>
      <w:pPr>
        <w:spacing w:line="360" w:lineRule="auto"/>
        <w:ind w:firstLine="602" w:firstLineChars="200"/>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lang w:val="en-US" w:eastAsia="zh-CN"/>
        </w:rPr>
        <w:t>2.</w:t>
      </w:r>
      <w:r>
        <w:rPr>
          <w:rFonts w:hint="eastAsia" w:ascii="方正仿宋_GBK" w:hAnsi="方正仿宋_GBK" w:eastAsia="方正仿宋_GBK" w:cs="方正仿宋_GBK"/>
          <w:b/>
          <w:bCs/>
          <w:color w:val="auto"/>
          <w:sz w:val="30"/>
          <w:szCs w:val="30"/>
        </w:rPr>
        <w:t>商用密码应用安全性评估服务要求</w:t>
      </w:r>
    </w:p>
    <w:p>
      <w:pPr>
        <w:pStyle w:val="24"/>
        <w:spacing w:line="360" w:lineRule="auto"/>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供应商应协助</w:t>
      </w:r>
      <w:r>
        <w:rPr>
          <w:rFonts w:eastAsia="方正仿宋_GBK"/>
          <w:color w:val="auto"/>
          <w:sz w:val="30"/>
          <w:szCs w:val="30"/>
        </w:rPr>
        <w:t>采购人</w:t>
      </w:r>
      <w:r>
        <w:rPr>
          <w:rFonts w:hint="eastAsia" w:ascii="方正仿宋_GBK" w:hAnsi="方正仿宋_GBK" w:eastAsia="方正仿宋_GBK" w:cs="方正仿宋_GBK"/>
          <w:color w:val="auto"/>
          <w:sz w:val="30"/>
          <w:szCs w:val="30"/>
        </w:rPr>
        <w:t>按照《信息安全技术 信息系统密码应用基本要求》（GB/T 39786-2021）对江门市住房公积金双贯标系统进行安全整改，聘请具备商用密码检测机构（商用密码应用安全性评估）资质的第三方测评机构对系统的的合规性和安全性进行测评，并取得第三方测评机构出具通过商密要求的商用密码应用安全性评估报告。</w:t>
      </w:r>
    </w:p>
    <w:p>
      <w:pPr>
        <w:spacing w:line="360" w:lineRule="auto"/>
        <w:ind w:firstLine="48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商用密码应用安全性评估服务应从物理和环境、网络和通信、设备和计算、应用和数据、管理制度与措施等方面对信息系统的密码技术情况进行分析与评估，评估应包括：</w:t>
      </w:r>
    </w:p>
    <w:p>
      <w:pPr>
        <w:spacing w:line="360" w:lineRule="auto"/>
        <w:ind w:firstLine="48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物理和环境密码层面评估：分析评估方案是否合理、合规的利用商用密码完整性、真实性功能，对影响信息系统安全防护效能的物理和环境层面因素是否得到有效控制。</w:t>
      </w:r>
    </w:p>
    <w:p>
      <w:pPr>
        <w:spacing w:line="360" w:lineRule="auto"/>
        <w:ind w:firstLine="48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网络和通信密码层面评估：分析评估方案是否合理、合规的利用商用密码机密性、完整性、真实性功能，对影响信息系统安全防护效能的网络和通信层面因素是否得到有效控制。</w:t>
      </w:r>
    </w:p>
    <w:p>
      <w:pPr>
        <w:spacing w:line="360" w:lineRule="auto"/>
        <w:ind w:firstLine="48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3</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设备和计算层面评估：分析评估信息系统是否合理、合规的利用商用密码机密性、完整性、真实性功能，对影响信息系统安全防护效能的设备和计算层面因素是否得到有效控制。</w:t>
      </w:r>
    </w:p>
    <w:p>
      <w:pPr>
        <w:spacing w:line="360" w:lineRule="auto"/>
        <w:ind w:firstLine="48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应用和数据层面评估：分析评估信息系统是否合理、合规的利用商用密码机密性、完整性、真实性以及不可否认性功能，对影响信息系统安全防护效能的应用和数据层面因素是否得到有效控制。</w:t>
      </w:r>
    </w:p>
    <w:p>
      <w:pPr>
        <w:pStyle w:val="5"/>
        <w:spacing w:line="580" w:lineRule="exact"/>
        <w:ind w:firstLine="600" w:firstLineChars="200"/>
        <w:rPr>
          <w:rFonts w:ascii="Times New Roman" w:hAnsi="Times New Roman" w:eastAsia="方正仿宋_GBK"/>
          <w:color w:val="auto"/>
          <w:sz w:val="30"/>
          <w:szCs w:val="30"/>
        </w:rPr>
      </w:pP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管理制度层面评估：分析评估管理制度与措施，</w:t>
      </w:r>
      <w:r>
        <w:rPr>
          <w:rFonts w:hint="eastAsia" w:ascii="方正仿宋_GBK" w:hAnsi="方正仿宋_GBK" w:eastAsia="方正仿宋_GBK" w:cs="方正仿宋_GBK"/>
          <w:color w:val="auto"/>
          <w:sz w:val="30"/>
          <w:szCs w:val="30"/>
          <w:lang w:val="en-US"/>
        </w:rPr>
        <w:t>包含但不限于</w:t>
      </w:r>
      <w:r>
        <w:rPr>
          <w:rFonts w:hint="eastAsia" w:ascii="方正仿宋_GBK" w:hAnsi="方正仿宋_GBK" w:eastAsia="方正仿宋_GBK" w:cs="方正仿宋_GBK"/>
          <w:color w:val="auto"/>
          <w:sz w:val="30"/>
          <w:szCs w:val="30"/>
        </w:rPr>
        <w:t>安全管理制度，密钥管理、人员管控，信息系统实施，应急预案</w:t>
      </w:r>
      <w:r>
        <w:rPr>
          <w:rFonts w:hint="eastAsia" w:ascii="方正仿宋_GBK" w:hAnsi="方正仿宋_GBK" w:eastAsia="方正仿宋_GBK" w:cs="方正仿宋_GBK"/>
          <w:color w:val="auto"/>
          <w:sz w:val="30"/>
          <w:szCs w:val="30"/>
          <w:lang w:val="en-US"/>
        </w:rPr>
        <w:t>等</w:t>
      </w:r>
      <w:r>
        <w:rPr>
          <w:rFonts w:hint="eastAsia" w:ascii="方正仿宋_GBK" w:hAnsi="方正仿宋_GBK" w:eastAsia="方正仿宋_GBK" w:cs="方正仿宋_GBK"/>
          <w:color w:val="auto"/>
          <w:sz w:val="30"/>
          <w:szCs w:val="30"/>
        </w:rPr>
        <w:t>。</w:t>
      </w:r>
      <w:r>
        <w:rPr>
          <w:rFonts w:ascii="Times New Roman" w:hAnsi="Times New Roman" w:eastAsia="方正仿宋_GBK"/>
          <w:color w:val="auto"/>
          <w:sz w:val="30"/>
          <w:szCs w:val="30"/>
        </w:rPr>
        <w:t>。</w:t>
      </w:r>
    </w:p>
    <w:p>
      <w:pPr>
        <w:pStyle w:val="5"/>
        <w:spacing w:line="580" w:lineRule="exact"/>
        <w:ind w:firstLine="600" w:firstLineChars="200"/>
        <w:outlineLvl w:val="1"/>
        <w:rPr>
          <w:rFonts w:ascii="Times New Roman" w:hAnsi="Times New Roman" w:eastAsia="方正黑体_GBK"/>
          <w:color w:val="auto"/>
          <w:sz w:val="30"/>
          <w:szCs w:val="30"/>
        </w:rPr>
      </w:pPr>
      <w:r>
        <w:rPr>
          <w:rFonts w:ascii="Times New Roman" w:hAnsi="Times New Roman" w:eastAsia="方正黑体_GBK"/>
          <w:color w:val="auto"/>
          <w:sz w:val="30"/>
          <w:szCs w:val="30"/>
        </w:rPr>
        <w:t>二、项目期限</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本次采购的服务期限为一年，即从</w:t>
      </w:r>
      <w:r>
        <w:rPr>
          <w:rFonts w:hint="eastAsia" w:ascii="Times New Roman" w:hAnsi="Times New Roman" w:eastAsia="方正仿宋_GBK"/>
          <w:color w:val="auto"/>
          <w:sz w:val="30"/>
          <w:szCs w:val="30"/>
        </w:rPr>
        <w:t>2026</w:t>
      </w:r>
      <w:r>
        <w:rPr>
          <w:rFonts w:ascii="Times New Roman" w:hAnsi="Times New Roman" w:eastAsia="方正仿宋_GBK"/>
          <w:color w:val="auto"/>
          <w:sz w:val="30"/>
          <w:szCs w:val="30"/>
        </w:rPr>
        <w:t>年</w:t>
      </w:r>
      <w:r>
        <w:rPr>
          <w:rFonts w:ascii="Times New Roman" w:hAnsi="Times New Roman" w:eastAsia="方正仿宋_GBK"/>
          <w:color w:val="auto"/>
          <w:sz w:val="30"/>
          <w:szCs w:val="30"/>
          <w:lang w:val="en-US"/>
        </w:rPr>
        <w:t>7</w:t>
      </w:r>
      <w:r>
        <w:rPr>
          <w:rFonts w:ascii="Times New Roman" w:hAnsi="Times New Roman" w:eastAsia="方正仿宋_GBK"/>
          <w:color w:val="auto"/>
          <w:sz w:val="30"/>
          <w:szCs w:val="30"/>
        </w:rPr>
        <w:t>月1日起至202</w:t>
      </w:r>
      <w:r>
        <w:rPr>
          <w:rFonts w:hint="eastAsia" w:ascii="Times New Roman" w:hAnsi="Times New Roman" w:eastAsia="方正仿宋_GBK"/>
          <w:color w:val="auto"/>
          <w:sz w:val="30"/>
          <w:szCs w:val="30"/>
          <w:lang w:val="en-US"/>
        </w:rPr>
        <w:t>7</w:t>
      </w:r>
      <w:r>
        <w:rPr>
          <w:rFonts w:ascii="Times New Roman" w:hAnsi="Times New Roman" w:eastAsia="方正仿宋_GBK"/>
          <w:color w:val="auto"/>
          <w:sz w:val="30"/>
          <w:szCs w:val="30"/>
        </w:rPr>
        <w:t>年</w:t>
      </w:r>
      <w:r>
        <w:rPr>
          <w:rFonts w:ascii="Times New Roman" w:hAnsi="Times New Roman" w:eastAsia="方正仿宋_GBK"/>
          <w:color w:val="auto"/>
          <w:sz w:val="30"/>
          <w:szCs w:val="30"/>
          <w:lang w:val="en-US"/>
        </w:rPr>
        <w:t>6</w:t>
      </w:r>
      <w:r>
        <w:rPr>
          <w:rFonts w:ascii="Times New Roman" w:hAnsi="Times New Roman" w:eastAsia="方正仿宋_GBK"/>
          <w:color w:val="auto"/>
          <w:sz w:val="30"/>
          <w:szCs w:val="30"/>
        </w:rPr>
        <w:t>月3</w:t>
      </w:r>
      <w:r>
        <w:rPr>
          <w:rFonts w:ascii="Times New Roman" w:hAnsi="Times New Roman" w:eastAsia="方正仿宋_GBK"/>
          <w:color w:val="auto"/>
          <w:sz w:val="30"/>
          <w:szCs w:val="30"/>
          <w:lang w:val="en-US"/>
        </w:rPr>
        <w:t>0</w:t>
      </w:r>
      <w:r>
        <w:rPr>
          <w:rFonts w:ascii="Times New Roman" w:hAnsi="Times New Roman" w:eastAsia="方正仿宋_GBK"/>
          <w:color w:val="auto"/>
          <w:sz w:val="30"/>
          <w:szCs w:val="30"/>
        </w:rPr>
        <w:t>日止。</w:t>
      </w:r>
    </w:p>
    <w:p>
      <w:pPr>
        <w:pStyle w:val="5"/>
        <w:spacing w:line="580" w:lineRule="exact"/>
        <w:ind w:firstLine="600" w:firstLineChars="200"/>
        <w:outlineLvl w:val="1"/>
        <w:rPr>
          <w:rFonts w:ascii="Times New Roman" w:hAnsi="Times New Roman" w:eastAsia="方正黑体_GBK"/>
          <w:color w:val="auto"/>
          <w:sz w:val="30"/>
          <w:szCs w:val="30"/>
        </w:rPr>
      </w:pPr>
      <w:r>
        <w:rPr>
          <w:rFonts w:ascii="Times New Roman" w:hAnsi="Times New Roman" w:eastAsia="方正黑体_GBK"/>
          <w:color w:val="auto"/>
          <w:sz w:val="30"/>
          <w:szCs w:val="30"/>
        </w:rPr>
        <w:t>三、采购方式及程序</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本项目不属于《广东省政府集中采购目录及标准（2020年版）》的范畴，需自行采购。项目拟在“江门市住房和城乡建设局”网站公告并以公开招标的方式开展自行采购。供应商按本采购项目要求提供相关材料，我中心将按</w:t>
      </w:r>
      <w:r>
        <w:rPr>
          <w:rFonts w:ascii="Times New Roman" w:hAnsi="Times New Roman" w:eastAsia="方正仿宋_GBK"/>
          <w:color w:val="auto"/>
          <w:sz w:val="30"/>
          <w:szCs w:val="30"/>
          <w:lang w:val="en-US"/>
        </w:rPr>
        <w:t>附件一</w:t>
      </w:r>
      <w:r>
        <w:rPr>
          <w:rFonts w:ascii="Times New Roman" w:hAnsi="Times New Roman" w:eastAsia="方正仿宋_GBK"/>
          <w:color w:val="auto"/>
          <w:sz w:val="30"/>
          <w:szCs w:val="30"/>
        </w:rPr>
        <w:t>中的评审内容对不少于三家供应商进行评审，最后综合得分最高者即为中选供应商。公告期内少于3家单位报名或评审时通过资格性审查的单位少于3家则停止采购，重新拟定采购方案后再次开展采购工作。</w:t>
      </w:r>
    </w:p>
    <w:p>
      <w:pPr>
        <w:pStyle w:val="5"/>
        <w:spacing w:line="580" w:lineRule="exact"/>
        <w:ind w:firstLine="600" w:firstLineChars="200"/>
        <w:outlineLvl w:val="1"/>
        <w:rPr>
          <w:rFonts w:ascii="Times New Roman" w:hAnsi="Times New Roman" w:eastAsia="方正黑体_GBK"/>
          <w:color w:val="auto"/>
          <w:sz w:val="30"/>
          <w:szCs w:val="30"/>
        </w:rPr>
      </w:pPr>
      <w:r>
        <w:rPr>
          <w:rFonts w:ascii="Times New Roman" w:hAnsi="Times New Roman" w:eastAsia="方正黑体_GBK"/>
          <w:color w:val="auto"/>
          <w:sz w:val="30"/>
          <w:szCs w:val="30"/>
        </w:rPr>
        <w:t>四、供应商资格要求</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（一）在中华人民共和国境内注册或登记的具有独立承担民事责任能力的企业法人或其他组织。</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（二）符合《中华人民共和国政府采购法》第二十二条的规定，并应提交有效的企业法人营业执照副本复印件或法人资格凭证。</w:t>
      </w:r>
    </w:p>
    <w:p>
      <w:pPr>
        <w:pStyle w:val="5"/>
        <w:snapToGrid w:val="0"/>
        <w:spacing w:line="580" w:lineRule="exact"/>
        <w:ind w:firstLine="600" w:firstLineChars="200"/>
        <w:contextualSpacing/>
        <w:rPr>
          <w:rFonts w:ascii="Times New Roman" w:hAnsi="Times New Roman" w:eastAsia="方正仿宋_GBK"/>
          <w:color w:val="auto"/>
          <w:sz w:val="30"/>
          <w:szCs w:val="30"/>
        </w:rPr>
      </w:pPr>
      <w:r>
        <w:rPr>
          <w:rFonts w:ascii="Times New Roman" w:hAnsi="Times New Roman" w:eastAsia="方正仿宋_GBK"/>
          <w:color w:val="auto"/>
          <w:sz w:val="30"/>
          <w:szCs w:val="30"/>
        </w:rPr>
        <w:t>（三）供应商</w:t>
      </w:r>
      <w:r>
        <w:rPr>
          <w:rFonts w:hint="eastAsia" w:ascii="Times New Roman" w:hAnsi="Times New Roman" w:eastAsia="方正仿宋_GBK"/>
          <w:color w:val="auto"/>
          <w:sz w:val="30"/>
          <w:szCs w:val="30"/>
          <w:lang w:val="en-US"/>
        </w:rPr>
        <w:t>应</w:t>
      </w:r>
      <w:r>
        <w:rPr>
          <w:rFonts w:ascii="Times New Roman" w:hAnsi="Times New Roman" w:eastAsia="方正仿宋_GBK"/>
          <w:color w:val="auto"/>
          <w:sz w:val="30"/>
          <w:szCs w:val="30"/>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w:t>
      </w:r>
      <w:r>
        <w:rPr>
          <w:rFonts w:ascii="Times New Roman" w:hAnsi="Times New Roman" w:eastAsia="方正仿宋_GBK"/>
          <w:color w:val="auto"/>
          <w:sz w:val="30"/>
          <w:szCs w:val="30"/>
          <w:lang w:val="en-US"/>
        </w:rPr>
        <w:t>四</w:t>
      </w:r>
      <w:r>
        <w:rPr>
          <w:rFonts w:ascii="Times New Roman" w:hAnsi="Times New Roman" w:eastAsia="方正仿宋_GBK"/>
          <w:color w:val="auto"/>
          <w:sz w:val="30"/>
          <w:szCs w:val="30"/>
        </w:rPr>
        <w:t>）本项目不接受联合体投标。</w:t>
      </w:r>
    </w:p>
    <w:p>
      <w:pPr>
        <w:pStyle w:val="5"/>
        <w:spacing w:line="580" w:lineRule="exact"/>
        <w:ind w:firstLine="600" w:firstLineChars="200"/>
        <w:outlineLvl w:val="1"/>
        <w:rPr>
          <w:rFonts w:ascii="Times New Roman" w:hAnsi="Times New Roman" w:eastAsia="方正黑体_GBK"/>
          <w:color w:val="auto"/>
          <w:sz w:val="30"/>
          <w:szCs w:val="30"/>
        </w:rPr>
      </w:pPr>
      <w:r>
        <w:rPr>
          <w:rFonts w:ascii="Times New Roman" w:hAnsi="Times New Roman" w:eastAsia="方正黑体_GBK"/>
          <w:color w:val="auto"/>
          <w:sz w:val="30"/>
          <w:szCs w:val="30"/>
        </w:rPr>
        <w:t>五、项目费用和支付方式</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（一）本项目总价为人民币</w:t>
      </w:r>
      <w:r>
        <w:rPr>
          <w:rFonts w:ascii="Times New Roman" w:hAnsi="Times New Roman" w:eastAsia="方正仿宋_GBK"/>
          <w:color w:val="auto"/>
          <w:sz w:val="30"/>
          <w:szCs w:val="30"/>
          <w:lang w:val="en-US"/>
        </w:rPr>
        <w:t>7</w:t>
      </w:r>
      <w:r>
        <w:rPr>
          <w:rFonts w:hint="eastAsia" w:ascii="Times New Roman" w:hAnsi="Times New Roman" w:eastAsia="方正仿宋_GBK"/>
          <w:color w:val="auto"/>
          <w:sz w:val="30"/>
          <w:szCs w:val="30"/>
          <w:lang w:val="en-US"/>
        </w:rPr>
        <w:t>5</w:t>
      </w:r>
      <w:r>
        <w:rPr>
          <w:rFonts w:ascii="Times New Roman" w:hAnsi="Times New Roman" w:eastAsia="方正仿宋_GBK"/>
          <w:color w:val="auto"/>
          <w:sz w:val="30"/>
          <w:szCs w:val="30"/>
        </w:rPr>
        <w:t>万元（含税价）</w:t>
      </w:r>
      <w:r>
        <w:rPr>
          <w:rFonts w:ascii="Times New Roman" w:hAnsi="Times New Roman" w:eastAsia="方正仿宋_GBK"/>
          <w:color w:val="auto"/>
          <w:sz w:val="30"/>
          <w:szCs w:val="30"/>
        </w:rPr>
        <w:t>，最高限价为人民币</w:t>
      </w:r>
      <w:r>
        <w:rPr>
          <w:rFonts w:ascii="Times New Roman" w:hAnsi="Times New Roman" w:eastAsia="方正仿宋_GBK"/>
          <w:color w:val="auto"/>
          <w:sz w:val="30"/>
          <w:szCs w:val="30"/>
          <w:lang w:val="en-US"/>
        </w:rPr>
        <w:t>7</w:t>
      </w:r>
      <w:r>
        <w:rPr>
          <w:rFonts w:hint="eastAsia" w:ascii="Times New Roman" w:hAnsi="Times New Roman" w:eastAsia="方正仿宋_GBK"/>
          <w:color w:val="auto"/>
          <w:sz w:val="30"/>
          <w:szCs w:val="30"/>
          <w:lang w:val="en-US"/>
        </w:rPr>
        <w:t>5</w:t>
      </w:r>
      <w:r>
        <w:rPr>
          <w:rFonts w:ascii="Times New Roman" w:hAnsi="Times New Roman" w:eastAsia="方正仿宋_GBK"/>
          <w:color w:val="auto"/>
          <w:sz w:val="30"/>
          <w:szCs w:val="30"/>
        </w:rPr>
        <w:t>万元（含税价），响应报价不得超过最高限价，否则作无效响应处理。</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（二）</w:t>
      </w:r>
      <w:r>
        <w:rPr>
          <w:rFonts w:ascii="Times New Roman" w:hAnsi="Times New Roman" w:eastAsia="方正仿宋_GBK"/>
          <w:color w:val="auto"/>
          <w:sz w:val="30"/>
          <w:szCs w:val="30"/>
        </w:rPr>
        <w:t>服务费用分二期支付，合同生效且收到</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提供的发票后二十个工作日内，</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向</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支付人民币贰拾伍万伍仟元整（￥</w:t>
      </w:r>
      <w:r>
        <w:rPr>
          <w:rFonts w:hint="eastAsia" w:ascii="Times New Roman" w:hAnsi="Times New Roman" w:eastAsia="方正仿宋_GBK"/>
          <w:color w:val="auto"/>
          <w:sz w:val="30"/>
          <w:szCs w:val="30"/>
          <w:lang w:val="en-US"/>
        </w:rPr>
        <w:t>30</w:t>
      </w:r>
      <w:r>
        <w:rPr>
          <w:rFonts w:ascii="Times New Roman" w:hAnsi="Times New Roman" w:eastAsia="方正仿宋_GBK"/>
          <w:color w:val="auto"/>
          <w:sz w:val="30"/>
          <w:szCs w:val="30"/>
        </w:rPr>
        <w:t>5,000.00），服务期届满且验收通过，</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收到</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提供的发票后二十个工作日内，</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向</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支付人民币肆拾肆万伍仟元整（￥445,000.00）。供应商向采购方申请付款时，需先向采购方提供相当于采购方付款金额的发票</w:t>
      </w:r>
      <w:r>
        <w:rPr>
          <w:rFonts w:ascii="Times New Roman" w:hAnsi="Times New Roman" w:eastAsia="方正仿宋_GBK"/>
          <w:color w:val="auto"/>
          <w:sz w:val="30"/>
          <w:szCs w:val="30"/>
        </w:rPr>
        <w:t>。</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三）因采购方使用的是财政资金，上述条款规定的付款时间为采购方向政府采购支付部门提出办理财政支付申请手续的时间（不含政府财政支付部门审核的时间），在规定时间内提出支付申请手续后即视为采购方已经按期支付。</w:t>
      </w:r>
    </w:p>
    <w:p>
      <w:pPr>
        <w:pStyle w:val="5"/>
        <w:spacing w:line="580" w:lineRule="exact"/>
        <w:ind w:firstLine="600" w:firstLineChars="200"/>
        <w:rPr>
          <w:rFonts w:ascii="Times New Roman" w:hAnsi="Times New Roman" w:eastAsia="方正仿宋_GBK"/>
          <w:color w:val="auto"/>
          <w:sz w:val="30"/>
          <w:szCs w:val="30"/>
        </w:rPr>
      </w:pPr>
      <w:r>
        <w:rPr>
          <w:rFonts w:ascii="Times New Roman" w:hAnsi="Times New Roman" w:eastAsia="方正仿宋_GBK"/>
          <w:color w:val="auto"/>
          <w:sz w:val="30"/>
          <w:szCs w:val="30"/>
        </w:rPr>
        <w:t>（</w:t>
      </w:r>
      <w:r>
        <w:rPr>
          <w:rFonts w:ascii="Times New Roman" w:hAnsi="Times New Roman" w:eastAsia="方正仿宋_GBK"/>
          <w:color w:val="auto"/>
          <w:sz w:val="30"/>
          <w:szCs w:val="30"/>
          <w:lang w:val="en-US"/>
        </w:rPr>
        <w:t>四</w:t>
      </w:r>
      <w:r>
        <w:rPr>
          <w:rFonts w:ascii="Times New Roman" w:hAnsi="Times New Roman" w:eastAsia="方正仿宋_GBK"/>
          <w:color w:val="auto"/>
          <w:sz w:val="30"/>
          <w:szCs w:val="30"/>
        </w:rPr>
        <w:t>）每次付款前,</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负责向</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开具符合国家规定的相应数额的增值税普通发票</w:t>
      </w:r>
      <w:r>
        <w:rPr>
          <w:rFonts w:hint="eastAsia" w:ascii="Times New Roman" w:hAnsi="Times New Roman" w:eastAsia="方正仿宋_GBK"/>
          <w:color w:val="auto"/>
          <w:sz w:val="30"/>
          <w:szCs w:val="30"/>
        </w:rPr>
        <w:t>，</w:t>
      </w:r>
      <w:r>
        <w:rPr>
          <w:rFonts w:ascii="Times New Roman" w:hAnsi="Times New Roman" w:eastAsia="方正仿宋_GBK"/>
          <w:color w:val="auto"/>
          <w:sz w:val="30"/>
          <w:szCs w:val="30"/>
        </w:rPr>
        <w:t>发票内容为运维服务费</w:t>
      </w:r>
      <w:r>
        <w:rPr>
          <w:rFonts w:hint="eastAsia" w:ascii="Times New Roman" w:hAnsi="Times New Roman" w:eastAsia="方正仿宋_GBK"/>
          <w:color w:val="auto"/>
          <w:sz w:val="30"/>
          <w:szCs w:val="30"/>
        </w:rPr>
        <w:t>，</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审核无误后,以转账方式将费用汇至</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指定的收款账户。</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账户如有变动,须提前向</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提交书面证明,否则</w:t>
      </w:r>
      <w:r>
        <w:rPr>
          <w:rFonts w:ascii="Times New Roman" w:hAnsi="Times New Roman" w:eastAsia="方正仿宋_GBK"/>
          <w:color w:val="auto"/>
          <w:sz w:val="30"/>
          <w:szCs w:val="30"/>
          <w:lang w:val="en-US"/>
        </w:rPr>
        <w:t>采购人</w:t>
      </w:r>
      <w:r>
        <w:rPr>
          <w:rFonts w:ascii="Times New Roman" w:hAnsi="Times New Roman" w:eastAsia="方正仿宋_GBK"/>
          <w:color w:val="auto"/>
          <w:sz w:val="30"/>
          <w:szCs w:val="30"/>
        </w:rPr>
        <w:t>不承担由</w:t>
      </w:r>
      <w:r>
        <w:rPr>
          <w:rFonts w:ascii="Times New Roman" w:hAnsi="Times New Roman" w:eastAsia="方正仿宋_GBK"/>
          <w:color w:val="auto"/>
          <w:sz w:val="30"/>
          <w:szCs w:val="30"/>
          <w:lang w:val="en-US"/>
        </w:rPr>
        <w:t>供应商</w:t>
      </w:r>
      <w:r>
        <w:rPr>
          <w:rFonts w:ascii="Times New Roman" w:hAnsi="Times New Roman" w:eastAsia="方正仿宋_GBK"/>
          <w:color w:val="auto"/>
          <w:sz w:val="30"/>
          <w:szCs w:val="30"/>
        </w:rPr>
        <w:t>账户变动造成的一切损失和责任。</w:t>
      </w:r>
    </w:p>
    <w:p>
      <w:pPr>
        <w:pStyle w:val="5"/>
        <w:spacing w:line="580" w:lineRule="exact"/>
        <w:ind w:firstLine="600" w:firstLineChars="200"/>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（五）本项目总价（以中标供应商与采购人签订的采购合同价为准）是完成项目的含税全包价，包括但不限于本项目约定的全部</w:t>
      </w:r>
      <w:r>
        <w:rPr>
          <w:rFonts w:hint="eastAsia" w:ascii="Times New Roman" w:hAnsi="Times New Roman" w:eastAsia="方正仿宋_GBK"/>
          <w:color w:val="auto"/>
          <w:sz w:val="30"/>
          <w:szCs w:val="30"/>
          <w:highlight w:val="none"/>
        </w:rPr>
        <w:t>设备款、服务费、人力资源成本、聘请第三方成本、税金</w:t>
      </w:r>
      <w:r>
        <w:rPr>
          <w:rFonts w:hint="eastAsia" w:ascii="Times New Roman" w:hAnsi="Times New Roman" w:eastAsia="方正仿宋_GBK"/>
          <w:color w:val="auto"/>
          <w:sz w:val="30"/>
          <w:szCs w:val="30"/>
        </w:rPr>
        <w:t>等。所有价格变动的风险均由供应商承担，采购人不需再向供应商支付任何其他费用。</w:t>
      </w:r>
    </w:p>
    <w:p>
      <w:pPr>
        <w:pStyle w:val="5"/>
        <w:spacing w:line="580" w:lineRule="exact"/>
        <w:ind w:firstLine="600" w:firstLineChars="200"/>
        <w:outlineLvl w:val="1"/>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rPr>
        <w:t>六、项目验收</w:t>
      </w:r>
    </w:p>
    <w:p>
      <w:pPr>
        <w:pStyle w:val="5"/>
        <w:spacing w:line="580" w:lineRule="exact"/>
        <w:ind w:firstLine="600" w:firstLineChars="200"/>
        <w:rPr>
          <w:rFonts w:ascii="Times New Roman" w:hAnsi="Times New Roman" w:eastAsia="方正仿宋_GBK"/>
          <w:color w:val="auto"/>
          <w:sz w:val="30"/>
          <w:szCs w:val="30"/>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方正仿宋_GBK"/>
          <w:color w:val="auto"/>
          <w:sz w:val="30"/>
          <w:szCs w:val="30"/>
        </w:rPr>
        <w:t>供应商合同服务期内完成合同全部服务内容后，供应商向采购人报送服务事项工作总结以及相关文件，并由采购人按照程序对合同规定的具体服务内容事项组织验收。</w:t>
      </w:r>
    </w:p>
    <w:p>
      <w:pPr>
        <w:spacing w:line="560" w:lineRule="exact"/>
        <w:outlineLvl w:val="0"/>
        <w:rPr>
          <w:rFonts w:ascii="Times New Roman" w:hAnsi="Times New Roman" w:eastAsia="方正仿宋_GBK"/>
          <w:color w:val="auto"/>
          <w:sz w:val="32"/>
          <w:szCs w:val="32"/>
        </w:rPr>
      </w:pPr>
      <w:r>
        <w:rPr>
          <w:rFonts w:ascii="Times New Roman" w:hAnsi="Times New Roman" w:eastAsia="方正仿宋_GBK"/>
          <w:color w:val="auto"/>
          <w:sz w:val="32"/>
          <w:szCs w:val="32"/>
        </w:rPr>
        <w:t>附件一</w:t>
      </w:r>
    </w:p>
    <w:p>
      <w:pPr>
        <w:spacing w:line="560" w:lineRule="exact"/>
        <w:jc w:val="center"/>
        <w:rPr>
          <w:rFonts w:ascii="Times New Roman" w:hAnsi="Times New Roman" w:eastAsia="方正大标宋_GBK"/>
          <w:bCs/>
          <w:color w:val="auto"/>
          <w:sz w:val="42"/>
          <w:szCs w:val="42"/>
        </w:rPr>
      </w:pPr>
      <w:r>
        <w:rPr>
          <w:rFonts w:hint="eastAsia" w:ascii="Times New Roman" w:hAnsi="Times New Roman" w:eastAsia="方正大标宋_GBK"/>
          <w:bCs/>
          <w:color w:val="auto"/>
          <w:sz w:val="42"/>
          <w:szCs w:val="42"/>
        </w:rPr>
        <w:t>2026年</w:t>
      </w:r>
      <w:r>
        <w:rPr>
          <w:rFonts w:ascii="Times New Roman" w:hAnsi="Times New Roman" w:eastAsia="方正大标宋_GBK"/>
          <w:bCs/>
          <w:color w:val="auto"/>
          <w:sz w:val="42"/>
          <w:szCs w:val="42"/>
        </w:rPr>
        <w:t>江门市住房公积金管理中心</w:t>
      </w:r>
    </w:p>
    <w:p>
      <w:pPr>
        <w:spacing w:line="560" w:lineRule="exact"/>
        <w:jc w:val="center"/>
        <w:rPr>
          <w:rFonts w:ascii="Times New Roman" w:hAnsi="Times New Roman" w:eastAsia="方正大标宋_GBK"/>
          <w:bCs/>
          <w:color w:val="auto"/>
          <w:sz w:val="42"/>
          <w:szCs w:val="42"/>
        </w:rPr>
      </w:pPr>
      <w:r>
        <w:rPr>
          <w:rFonts w:ascii="Times New Roman" w:hAnsi="Times New Roman" w:eastAsia="方正大标宋_GBK"/>
          <w:bCs/>
          <w:color w:val="auto"/>
          <w:sz w:val="42"/>
          <w:szCs w:val="42"/>
        </w:rPr>
        <w:t>信息化系统运维服务项目综合评审表</w:t>
      </w:r>
    </w:p>
    <w:p>
      <w:pPr>
        <w:pStyle w:val="3"/>
        <w:rPr>
          <w:rFonts w:ascii="Times New Roman" w:hAnsi="Times New Roman"/>
          <w:color w:val="auto"/>
        </w:rPr>
      </w:pPr>
    </w:p>
    <w:tbl>
      <w:tblPr>
        <w:tblStyle w:val="11"/>
        <w:tblW w:w="96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4"/>
        <w:gridCol w:w="1491"/>
        <w:gridCol w:w="3947"/>
        <w:gridCol w:w="10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2" w:hRule="atLeast"/>
          <w:tblHeader/>
          <w:jc w:val="center"/>
        </w:trPr>
        <w:tc>
          <w:tcPr>
            <w:tcW w:w="3084" w:type="dxa"/>
            <w:vAlign w:val="center"/>
          </w:tcPr>
          <w:p>
            <w:pPr>
              <w:widowControl/>
              <w:jc w:val="center"/>
              <w:rPr>
                <w:rFonts w:ascii="Times New Roman" w:hAnsi="Times New Roman" w:eastAsia="方正黑体_GBK"/>
                <w:b/>
                <w:bCs/>
                <w:color w:val="auto"/>
                <w:kern w:val="0"/>
                <w:sz w:val="30"/>
                <w:szCs w:val="30"/>
              </w:rPr>
            </w:pPr>
            <w:r>
              <w:rPr>
                <w:rFonts w:ascii="Times New Roman" w:hAnsi="Times New Roman" w:eastAsia="方正黑体_GBK"/>
                <w:b/>
                <w:bCs/>
                <w:color w:val="auto"/>
                <w:kern w:val="0"/>
                <w:sz w:val="30"/>
                <w:szCs w:val="30"/>
              </w:rPr>
              <w:t>评审项目分值</w:t>
            </w:r>
          </w:p>
        </w:tc>
        <w:tc>
          <w:tcPr>
            <w:tcW w:w="1491" w:type="dxa"/>
            <w:vAlign w:val="center"/>
          </w:tcPr>
          <w:p>
            <w:pPr>
              <w:widowControl/>
              <w:jc w:val="center"/>
              <w:rPr>
                <w:rFonts w:ascii="Times New Roman" w:hAnsi="Times New Roman" w:eastAsia="方正黑体_GBK"/>
                <w:b/>
                <w:bCs/>
                <w:color w:val="auto"/>
                <w:kern w:val="0"/>
                <w:sz w:val="30"/>
                <w:szCs w:val="30"/>
              </w:rPr>
            </w:pPr>
            <w:r>
              <w:rPr>
                <w:rFonts w:ascii="Times New Roman" w:hAnsi="Times New Roman" w:eastAsia="方正黑体_GBK"/>
                <w:b/>
                <w:bCs/>
                <w:color w:val="auto"/>
                <w:kern w:val="0"/>
                <w:sz w:val="30"/>
                <w:szCs w:val="30"/>
              </w:rPr>
              <w:t>分值</w:t>
            </w:r>
          </w:p>
        </w:tc>
        <w:tc>
          <w:tcPr>
            <w:tcW w:w="3947" w:type="dxa"/>
            <w:vAlign w:val="center"/>
          </w:tcPr>
          <w:p>
            <w:pPr>
              <w:widowControl/>
              <w:jc w:val="center"/>
              <w:rPr>
                <w:rFonts w:ascii="Times New Roman" w:hAnsi="Times New Roman" w:eastAsia="方正黑体_GBK"/>
                <w:b/>
                <w:bCs/>
                <w:color w:val="auto"/>
                <w:kern w:val="0"/>
                <w:sz w:val="30"/>
                <w:szCs w:val="30"/>
              </w:rPr>
            </w:pPr>
            <w:r>
              <w:rPr>
                <w:rFonts w:ascii="Times New Roman" w:hAnsi="Times New Roman" w:eastAsia="方正黑体_GBK"/>
                <w:b/>
                <w:bCs/>
                <w:color w:val="auto"/>
                <w:kern w:val="0"/>
                <w:sz w:val="30"/>
                <w:szCs w:val="30"/>
              </w:rPr>
              <w:t>评审标准分值</w:t>
            </w:r>
          </w:p>
        </w:tc>
        <w:tc>
          <w:tcPr>
            <w:tcW w:w="1091" w:type="dxa"/>
            <w:vAlign w:val="center"/>
          </w:tcPr>
          <w:p>
            <w:pPr>
              <w:widowControl/>
              <w:jc w:val="center"/>
              <w:rPr>
                <w:rFonts w:ascii="Times New Roman" w:hAnsi="Times New Roman" w:eastAsia="方正黑体_GBK"/>
                <w:b/>
                <w:bCs/>
                <w:color w:val="auto"/>
                <w:kern w:val="0"/>
                <w:sz w:val="30"/>
                <w:szCs w:val="30"/>
              </w:rPr>
            </w:pPr>
            <w:r>
              <w:rPr>
                <w:rFonts w:ascii="Times New Roman" w:hAnsi="Times New Roman" w:eastAsia="方正黑体_GBK"/>
                <w:b/>
                <w:bCs/>
                <w:color w:val="auto"/>
                <w:kern w:val="0"/>
                <w:sz w:val="30"/>
                <w:szCs w:val="3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1" w:hRule="atLeast"/>
          <w:jc w:val="center"/>
        </w:trPr>
        <w:tc>
          <w:tcPr>
            <w:tcW w:w="3084" w:type="dxa"/>
            <w:vAlign w:val="center"/>
          </w:tcPr>
          <w:p>
            <w:pPr>
              <w:widowControl/>
              <w:jc w:val="center"/>
              <w:rPr>
                <w:rFonts w:ascii="Times New Roman" w:hAnsi="Times New Roman" w:eastAsia="方正仿宋_GBK"/>
                <w:color w:val="auto"/>
                <w:kern w:val="0"/>
                <w:sz w:val="30"/>
                <w:szCs w:val="30"/>
              </w:rPr>
            </w:pPr>
          </w:p>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报价</w:t>
            </w:r>
          </w:p>
          <w:p>
            <w:pPr>
              <w:widowControl/>
              <w:jc w:val="center"/>
              <w:rPr>
                <w:rFonts w:ascii="Times New Roman" w:hAnsi="Times New Roman" w:eastAsia="方正仿宋_GBK"/>
                <w:color w:val="auto"/>
                <w:kern w:val="0"/>
                <w:sz w:val="30"/>
                <w:szCs w:val="30"/>
              </w:rPr>
            </w:pPr>
          </w:p>
        </w:tc>
        <w:tc>
          <w:tcPr>
            <w:tcW w:w="1491" w:type="dxa"/>
            <w:vAlign w:val="center"/>
          </w:tcPr>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10</w:t>
            </w:r>
          </w:p>
        </w:tc>
        <w:tc>
          <w:tcPr>
            <w:tcW w:w="3947" w:type="dxa"/>
            <w:vAlign w:val="center"/>
          </w:tcPr>
          <w:p>
            <w:pPr>
              <w:widowControl/>
              <w:jc w:val="left"/>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以所有合格供应商评标价的最低价作为评分基准价。供应商的价格分按下式计算：价格分=（评分基准价/评标价）×10</w:t>
            </w:r>
          </w:p>
        </w:tc>
        <w:tc>
          <w:tcPr>
            <w:tcW w:w="1091" w:type="dxa"/>
            <w:vAlign w:val="center"/>
          </w:tcPr>
          <w:p>
            <w:pPr>
              <w:widowControl/>
              <w:jc w:val="center"/>
              <w:rPr>
                <w:rFonts w:ascii="Times New Roman" w:hAnsi="Times New Roman" w:eastAsia="方正仿宋_GBK"/>
                <w:color w:val="auto"/>
                <w:kern w:val="0"/>
                <w:sz w:val="24"/>
                <w:szCs w:val="24"/>
              </w:rPr>
            </w:pPr>
          </w:p>
          <w:p>
            <w:pPr>
              <w:widowControl/>
              <w:jc w:val="center"/>
              <w:rPr>
                <w:rFonts w:ascii="Times New Roman" w:hAnsi="Times New Roman" w:eastAsia="方正仿宋_GBK"/>
                <w:color w:val="auto"/>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3084" w:type="dxa"/>
            <w:vAlign w:val="center"/>
          </w:tcPr>
          <w:p>
            <w:pPr>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对本项目总体理解</w:t>
            </w:r>
          </w:p>
        </w:tc>
        <w:tc>
          <w:tcPr>
            <w:tcW w:w="1491" w:type="dxa"/>
            <w:vAlign w:val="center"/>
          </w:tcPr>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15</w:t>
            </w:r>
          </w:p>
        </w:tc>
        <w:tc>
          <w:tcPr>
            <w:tcW w:w="3947" w:type="dxa"/>
            <w:vAlign w:val="center"/>
          </w:tcPr>
          <w:p>
            <w:pPr>
              <w:widowControl/>
              <w:jc w:val="left"/>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对本项目的总体理解方案进行评分，包括：项目背景、政策背景和运维目标的了解和熟悉程度，内容完整、详细、表述清晰、科学合理、符合实际情况、切实可行，得15分；内容比较完整、详细、表述比较清晰、合理、可行，得10分；内容基本完整、表述基本清晰、基本合理可行，得5分；其他或无响应，得0分。</w:t>
            </w:r>
          </w:p>
        </w:tc>
        <w:tc>
          <w:tcPr>
            <w:tcW w:w="1091" w:type="dxa"/>
            <w:vAlign w:val="center"/>
          </w:tcPr>
          <w:p>
            <w:pPr>
              <w:jc w:val="center"/>
              <w:rPr>
                <w:rFonts w:ascii="Times New Roman" w:hAnsi="Times New Roman" w:eastAsia="方正仿宋_GBK"/>
                <w:color w:val="auto"/>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8" w:hRule="atLeast"/>
          <w:jc w:val="center"/>
        </w:trPr>
        <w:tc>
          <w:tcPr>
            <w:tcW w:w="3084" w:type="dxa"/>
            <w:vAlign w:val="center"/>
          </w:tcPr>
          <w:p>
            <w:pPr>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服务方案</w:t>
            </w:r>
          </w:p>
        </w:tc>
        <w:tc>
          <w:tcPr>
            <w:tcW w:w="1491" w:type="dxa"/>
            <w:vAlign w:val="center"/>
          </w:tcPr>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25</w:t>
            </w:r>
          </w:p>
        </w:tc>
        <w:tc>
          <w:tcPr>
            <w:tcW w:w="3947" w:type="dxa"/>
            <w:vAlign w:val="center"/>
          </w:tcPr>
          <w:p>
            <w:pPr>
              <w:widowControl/>
              <w:jc w:val="left"/>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方案内容完整、详细、表述清晰、科学合理、符合实际情况、切实可行，得25分；方案内容比较完整、详细、表述比较清晰、合理、可行，得15分；方案内容基本完整、表述基本清晰、基本合理可行，得10分；其他或无响应，得0分。</w:t>
            </w:r>
          </w:p>
        </w:tc>
        <w:tc>
          <w:tcPr>
            <w:tcW w:w="1091" w:type="dxa"/>
            <w:vAlign w:val="center"/>
          </w:tcPr>
          <w:p>
            <w:pPr>
              <w:jc w:val="center"/>
              <w:rPr>
                <w:rFonts w:ascii="Times New Roman" w:hAnsi="Times New Roman" w:eastAsia="方正仿宋_GBK"/>
                <w:color w:val="auto"/>
                <w:kern w:val="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8" w:hRule="atLeast"/>
          <w:jc w:val="center"/>
        </w:trPr>
        <w:tc>
          <w:tcPr>
            <w:tcW w:w="3084" w:type="dxa"/>
            <w:vAlign w:val="center"/>
          </w:tcPr>
          <w:p>
            <w:pPr>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本项目组技术实力</w:t>
            </w:r>
          </w:p>
        </w:tc>
        <w:tc>
          <w:tcPr>
            <w:tcW w:w="1491" w:type="dxa"/>
            <w:vAlign w:val="center"/>
          </w:tcPr>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20</w:t>
            </w:r>
          </w:p>
        </w:tc>
        <w:tc>
          <w:tcPr>
            <w:tcW w:w="3947" w:type="dxa"/>
            <w:vAlign w:val="center"/>
          </w:tcPr>
          <w:p>
            <w:pPr>
              <w:widowControl/>
              <w:jc w:val="left"/>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具有ITIL、系统集成项目管理工程师、网络工程师、软件设计师，每个得5分（同一人员的多个证书不重复计分），最高20分。（提供资质证明材料及以上人员在本项目投标截止日之前在本单位任职至少三个月的《投保单》或《社会保险参保人员证明》，或单位代缴个人所得税税单等的扫描件）。</w:t>
            </w:r>
          </w:p>
        </w:tc>
        <w:tc>
          <w:tcPr>
            <w:tcW w:w="1091" w:type="dxa"/>
            <w:vAlign w:val="center"/>
          </w:tcPr>
          <w:p>
            <w:pPr>
              <w:jc w:val="center"/>
              <w:rPr>
                <w:rFonts w:ascii="Times New Roman" w:hAnsi="Times New Roman" w:eastAsia="方正仿宋_GBK"/>
                <w:color w:val="auto"/>
                <w:kern w:val="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3084" w:type="dxa"/>
            <w:vAlign w:val="center"/>
          </w:tcPr>
          <w:p>
            <w:pPr>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供应商综合实力</w:t>
            </w:r>
          </w:p>
        </w:tc>
        <w:tc>
          <w:tcPr>
            <w:tcW w:w="1491" w:type="dxa"/>
            <w:vAlign w:val="center"/>
          </w:tcPr>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15</w:t>
            </w:r>
          </w:p>
        </w:tc>
        <w:tc>
          <w:tcPr>
            <w:tcW w:w="3947" w:type="dxa"/>
            <w:vAlign w:val="center"/>
          </w:tcPr>
          <w:p>
            <w:pPr>
              <w:widowControl/>
              <w:jc w:val="left"/>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具有有效的环境管理体系认证证书、职业健康安全管理体系认证证书、质量管理体系认证证书，提供证书扫描件及在全国认证认可信息公共服务平台上对证书的查询结果截图为证明材料，每个证书5分，最高15分。</w:t>
            </w:r>
          </w:p>
        </w:tc>
        <w:tc>
          <w:tcPr>
            <w:tcW w:w="1091" w:type="dxa"/>
            <w:vAlign w:val="center"/>
          </w:tcPr>
          <w:p>
            <w:pPr>
              <w:jc w:val="center"/>
              <w:rPr>
                <w:rFonts w:ascii="Times New Roman" w:hAnsi="Times New Roman" w:eastAsia="方正仿宋_GBK"/>
                <w:color w:val="auto"/>
                <w:kern w:val="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3084" w:type="dxa"/>
            <w:vAlign w:val="center"/>
          </w:tcPr>
          <w:p>
            <w:pPr>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同类业绩</w:t>
            </w:r>
          </w:p>
        </w:tc>
        <w:tc>
          <w:tcPr>
            <w:tcW w:w="1491" w:type="dxa"/>
            <w:vAlign w:val="center"/>
          </w:tcPr>
          <w:p>
            <w:pPr>
              <w:widowControl/>
              <w:jc w:val="center"/>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15</w:t>
            </w:r>
          </w:p>
        </w:tc>
        <w:tc>
          <w:tcPr>
            <w:tcW w:w="3947" w:type="dxa"/>
            <w:vAlign w:val="center"/>
          </w:tcPr>
          <w:p>
            <w:pPr>
              <w:widowControl/>
              <w:jc w:val="left"/>
              <w:rPr>
                <w:rFonts w:ascii="Times New Roman" w:hAnsi="Times New Roman" w:eastAsia="方正仿宋_GBK"/>
                <w:color w:val="auto"/>
                <w:kern w:val="0"/>
                <w:sz w:val="30"/>
                <w:szCs w:val="30"/>
              </w:rPr>
            </w:pPr>
            <w:r>
              <w:rPr>
                <w:rFonts w:ascii="Times New Roman" w:hAnsi="Times New Roman" w:eastAsia="方正仿宋_GBK"/>
                <w:color w:val="auto"/>
                <w:kern w:val="0"/>
                <w:sz w:val="30"/>
                <w:szCs w:val="30"/>
              </w:rPr>
              <w:t>依据202</w:t>
            </w:r>
            <w:r>
              <w:rPr>
                <w:rFonts w:hint="eastAsia" w:ascii="Times New Roman" w:hAnsi="Times New Roman" w:eastAsia="方正仿宋_GBK"/>
                <w:color w:val="auto"/>
                <w:kern w:val="0"/>
                <w:sz w:val="30"/>
                <w:szCs w:val="30"/>
              </w:rPr>
              <w:t>1</w:t>
            </w:r>
            <w:r>
              <w:rPr>
                <w:rFonts w:ascii="Times New Roman" w:hAnsi="Times New Roman" w:eastAsia="方正仿宋_GBK"/>
                <w:color w:val="auto"/>
                <w:kern w:val="0"/>
                <w:sz w:val="30"/>
                <w:szCs w:val="30"/>
              </w:rPr>
              <w:t>年以来完成的项目合同进行评审（分公司投标的，总公司业绩可纳入评审）：每提供一个同类维护项目经验得5分，本项最高15分；请投标人严格按照要求提交合同复印件的关键页（首页、金额页、盖章页），否则有可能影响评审结果。</w:t>
            </w:r>
          </w:p>
        </w:tc>
        <w:tc>
          <w:tcPr>
            <w:tcW w:w="1091" w:type="dxa"/>
            <w:vAlign w:val="center"/>
          </w:tcPr>
          <w:p>
            <w:pPr>
              <w:jc w:val="center"/>
              <w:rPr>
                <w:rFonts w:ascii="Times New Roman" w:hAnsi="Times New Roman" w:eastAsia="方正仿宋_GBK"/>
                <w:color w:val="auto"/>
                <w:kern w:val="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8522" w:type="dxa"/>
            <w:gridSpan w:val="3"/>
            <w:vAlign w:val="center"/>
          </w:tcPr>
          <w:p>
            <w:pPr>
              <w:widowControl/>
              <w:jc w:val="center"/>
              <w:rPr>
                <w:rFonts w:ascii="Times New Roman" w:hAnsi="Times New Roman"/>
                <w:color w:val="auto"/>
                <w:kern w:val="0"/>
                <w:sz w:val="24"/>
                <w:szCs w:val="24"/>
              </w:rPr>
            </w:pPr>
            <w:r>
              <w:rPr>
                <w:rFonts w:ascii="Times New Roman" w:hAnsi="Times New Roman" w:eastAsia="方正黑体_GBK"/>
                <w:color w:val="auto"/>
                <w:kern w:val="0"/>
                <w:sz w:val="30"/>
                <w:szCs w:val="30"/>
              </w:rPr>
              <w:t>合  计</w:t>
            </w:r>
          </w:p>
        </w:tc>
        <w:tc>
          <w:tcPr>
            <w:tcW w:w="1091" w:type="dxa"/>
            <w:vAlign w:val="center"/>
          </w:tcPr>
          <w:p>
            <w:pPr>
              <w:jc w:val="center"/>
              <w:rPr>
                <w:rFonts w:ascii="Times New Roman" w:hAnsi="Times New Roman"/>
                <w:color w:val="auto"/>
                <w:kern w:val="0"/>
                <w:sz w:val="24"/>
                <w:szCs w:val="24"/>
              </w:rPr>
            </w:pPr>
          </w:p>
          <w:p>
            <w:pPr>
              <w:rPr>
                <w:rFonts w:ascii="Times New Roman" w:hAnsi="Times New Roman"/>
                <w:color w:val="auto"/>
                <w:kern w:val="0"/>
                <w:sz w:val="24"/>
                <w:szCs w:val="24"/>
              </w:rPr>
            </w:pPr>
          </w:p>
        </w:tc>
      </w:tr>
    </w:tbl>
    <w:p>
      <w:pPr>
        <w:pStyle w:val="5"/>
        <w:spacing w:line="480" w:lineRule="exact"/>
        <w:ind w:firstLine="480" w:firstLineChars="200"/>
        <w:rPr>
          <w:rFonts w:ascii="Times New Roman" w:hAnsi="Times New Roman"/>
          <w:color w:val="auto"/>
          <w:sz w:val="24"/>
          <w:szCs w:val="24"/>
        </w:rPr>
        <w:sectPr>
          <w:pgSz w:w="11906" w:h="16838"/>
          <w:pgMar w:top="1440" w:right="1800" w:bottom="1440" w:left="1800" w:header="851" w:footer="992" w:gutter="0"/>
          <w:cols w:space="425" w:num="1"/>
          <w:docGrid w:type="lines" w:linePitch="312" w:charSpace="0"/>
        </w:sectPr>
      </w:pPr>
    </w:p>
    <w:p>
      <w:pPr>
        <w:pStyle w:val="2"/>
        <w:tabs>
          <w:tab w:val="left" w:pos="454"/>
        </w:tabs>
        <w:spacing w:before="312" w:beforeLines="100" w:after="312" w:afterLines="100"/>
        <w:rPr>
          <w:rFonts w:ascii="Times New Roman" w:eastAsia="方正仿宋_GBK"/>
          <w:b w:val="0"/>
          <w:bCs/>
          <w:color w:val="auto"/>
          <w:sz w:val="32"/>
          <w:szCs w:val="32"/>
        </w:rPr>
      </w:pPr>
      <w:r>
        <w:rPr>
          <w:rFonts w:ascii="Times New Roman" w:eastAsia="方正仿宋_GBK"/>
          <w:b w:val="0"/>
          <w:bCs/>
          <w:color w:val="auto"/>
          <w:sz w:val="32"/>
          <w:szCs w:val="32"/>
        </w:rPr>
        <w:t>附件</w:t>
      </w:r>
      <w:r>
        <w:rPr>
          <w:rFonts w:ascii="Times New Roman" w:eastAsia="方正仿宋_GBK"/>
          <w:b w:val="0"/>
          <w:bCs/>
          <w:color w:val="auto"/>
          <w:sz w:val="32"/>
          <w:szCs w:val="32"/>
          <w:lang w:val="en-US"/>
        </w:rPr>
        <w:t>二</w:t>
      </w:r>
      <w:r>
        <w:rPr>
          <w:rFonts w:ascii="Times New Roman" w:eastAsia="方正仿宋_GBK"/>
          <w:b w:val="0"/>
          <w:bCs/>
          <w:color w:val="auto"/>
          <w:sz w:val="32"/>
          <w:szCs w:val="32"/>
        </w:rPr>
        <w:t>：</w:t>
      </w:r>
    </w:p>
    <w:p>
      <w:pPr>
        <w:pStyle w:val="2"/>
        <w:tabs>
          <w:tab w:val="left" w:pos="454"/>
        </w:tabs>
        <w:spacing w:before="312" w:beforeLines="100" w:after="312" w:afterLines="100"/>
        <w:ind w:left="425"/>
        <w:jc w:val="center"/>
        <w:rPr>
          <w:rFonts w:ascii="Times New Roman" w:eastAsia="方正大标宋_GBK"/>
          <w:color w:val="auto"/>
          <w:sz w:val="42"/>
          <w:szCs w:val="42"/>
        </w:rPr>
      </w:pPr>
      <w:r>
        <w:rPr>
          <w:rFonts w:ascii="Times New Roman" w:eastAsia="方正大标宋_GBK"/>
          <w:b w:val="0"/>
          <w:bCs/>
          <w:color w:val="auto"/>
          <w:sz w:val="42"/>
          <w:szCs w:val="42"/>
        </w:rPr>
        <w:t>具体维护内容</w:t>
      </w:r>
    </w:p>
    <w:tbl>
      <w:tblPr>
        <w:tblStyle w:val="11"/>
        <w:tblW w:w="8723" w:type="dxa"/>
        <w:tblInd w:w="96" w:type="dxa"/>
        <w:tblLayout w:type="fixed"/>
        <w:tblCellMar>
          <w:top w:w="0" w:type="dxa"/>
          <w:left w:w="108" w:type="dxa"/>
          <w:bottom w:w="0" w:type="dxa"/>
          <w:right w:w="108" w:type="dxa"/>
        </w:tblCellMar>
      </w:tblPr>
      <w:tblGrid>
        <w:gridCol w:w="2340"/>
        <w:gridCol w:w="2150"/>
        <w:gridCol w:w="4233"/>
      </w:tblGrid>
      <w:tr>
        <w:tblPrEx>
          <w:tblCellMar>
            <w:top w:w="0" w:type="dxa"/>
            <w:left w:w="108" w:type="dxa"/>
            <w:bottom w:w="0" w:type="dxa"/>
            <w:right w:w="108" w:type="dxa"/>
          </w:tblCellMar>
        </w:tblPrEx>
        <w:trPr>
          <w:trHeight w:val="264"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方正黑体_GBK"/>
                <w:b/>
                <w:bCs/>
                <w:color w:val="auto"/>
                <w:sz w:val="30"/>
                <w:szCs w:val="30"/>
              </w:rPr>
            </w:pPr>
            <w:r>
              <w:rPr>
                <w:rFonts w:ascii="Times New Roman" w:hAnsi="Times New Roman" w:eastAsia="方正黑体_GBK"/>
                <w:b/>
                <w:bCs/>
                <w:color w:val="auto"/>
                <w:kern w:val="0"/>
                <w:sz w:val="30"/>
                <w:szCs w:val="30"/>
                <w:lang w:bidi="ar"/>
              </w:rPr>
              <w:t>系统名称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eastAsia="方正黑体_GBK"/>
                <w:b/>
                <w:bCs/>
                <w:color w:val="auto"/>
                <w:sz w:val="30"/>
                <w:szCs w:val="30"/>
              </w:rPr>
            </w:pPr>
            <w:r>
              <w:rPr>
                <w:rFonts w:ascii="Times New Roman" w:hAnsi="Times New Roman" w:eastAsia="方正黑体_GBK"/>
                <w:b/>
                <w:bCs/>
                <w:color w:val="auto"/>
                <w:kern w:val="0"/>
                <w:sz w:val="30"/>
                <w:szCs w:val="30"/>
                <w:lang w:bidi="ar"/>
              </w:rPr>
              <w:t>模块</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eastAsia="方正黑体_GBK"/>
                <w:b/>
                <w:bCs/>
                <w:color w:val="auto"/>
                <w:sz w:val="30"/>
                <w:szCs w:val="30"/>
              </w:rPr>
            </w:pPr>
            <w:r>
              <w:rPr>
                <w:rFonts w:ascii="Times New Roman" w:hAnsi="Times New Roman" w:eastAsia="方正黑体_GBK"/>
                <w:b/>
                <w:bCs/>
                <w:color w:val="auto"/>
                <w:kern w:val="0"/>
                <w:sz w:val="30"/>
                <w:szCs w:val="30"/>
                <w:lang w:bidi="ar"/>
              </w:rPr>
              <w:t>菜单</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财务系统</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财务凭证管理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凭证业务明细汇总打印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手工凭证</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结算凭证业务校验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凭证整理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账务进度查询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业务数据汇总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收入支出结转制单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凭证打印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凭证删除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凭证记账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账表管理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总账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科目汇总表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序时账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科目余额</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三栏明细账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总分类账查询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期末结转</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月末结转</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年末结转</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平衡检查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辅助管理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前后台余额平衡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日记账会计账平衡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日记账户余额平衡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协定利率设置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业务情况查询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多维辅助账查询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前台业务发生与科目账平衡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辅助总账信息查询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多维辅助账明细查询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辅助账余额明细表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会计报表</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缴存、提取分类情况表</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季报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贷款结构分析表</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季报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缴存、提取分类情况表</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月报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缴存使用情况表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贷款结构分析表</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月报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会计报表制作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增值收益分配表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存贷款报备表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资产负债表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增值收益表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银行存款情况表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年度披露表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缴存比例情况表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财务初始</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摘要定义</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添加银行</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号领导审批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银行账户管理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科目设置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添加银行</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号复审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添加银行</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号初审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银行</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号添加录入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定期存款预提利息计算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定期存款预提利息复核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定期查询统计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定期存款兑付初审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定期存款预提利息初审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定期存款录入复核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定期存款兑付</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定期存款兑付复核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买入国债登记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买入国债登记复核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国债兑付管理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国债兑付复核管理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国债预提利息复核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国债查询统计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国债预提利息计算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日记账管理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银行日记账查询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日记账监控查询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资金调拨线上交易单领导审批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资金调拨付款配置领导审批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资金调拨线下交易单初审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资金调拨线上交易单初审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资金调拨线上交易单审批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资金调拨单退回上报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资金调拨单查询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资金调拨单发送</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资金调拨线下交易单领导审批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资金调拨线下交易单审批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资金调拨线上交易制单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资金调拨线下交易制单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资金调拨付款配置录入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资金调拨付款配置初审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资金调拨付款配置复审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手续费支付审批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手续费支付复核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归集手续费计算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手续费预提表制作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手续费账户配置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贷款手续费计算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手续费支付申请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历史</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查询</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历史科目余额月结表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历史三栏明细</w:t>
            </w:r>
            <w:r>
              <w:rPr>
                <w:rFonts w:hint="eastAsia" w:ascii="Times New Roman" w:hAnsi="Times New Roman" w:eastAsia="方正仿宋_GBK"/>
                <w:color w:val="auto"/>
                <w:kern w:val="0"/>
                <w:sz w:val="30"/>
                <w:szCs w:val="30"/>
                <w:lang w:bidi="ar"/>
              </w:rPr>
              <w:t>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历史日记</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历史凭证查询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协定结转管理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协定结转凭证制作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协定信息维护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内部报表</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归集额统计表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归集变动和扣罚手续费计算表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会计数据与资金流量表核对表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灵活就业缴存使用情况表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资金净流量滚动平均值（</w:t>
            </w:r>
            <w:r>
              <w:rPr>
                <w:rStyle w:val="22"/>
                <w:rFonts w:ascii="Times New Roman" w:hAnsi="Times New Roman" w:eastAsia="方正仿宋_GBK" w:cs="Times New Roman"/>
                <w:color w:val="auto"/>
                <w:sz w:val="30"/>
                <w:szCs w:val="30"/>
                <w:lang w:bidi="ar"/>
              </w:rPr>
              <w:t>S</w:t>
            </w:r>
            <w:r>
              <w:rPr>
                <w:rStyle w:val="23"/>
                <w:rFonts w:hint="default" w:ascii="Times New Roman" w:hAnsi="Times New Roman" w:eastAsia="方正仿宋_GBK" w:cs="Times New Roman"/>
                <w:color w:val="auto"/>
                <w:sz w:val="30"/>
                <w:szCs w:val="30"/>
                <w:lang w:bidi="ar"/>
              </w:rPr>
              <w:t>）测算表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资金流动预警指标计算表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资金调</w:t>
            </w:r>
            <w:r>
              <w:rPr>
                <w:rFonts w:hint="eastAsia" w:ascii="Times New Roman" w:hAnsi="Times New Roman" w:eastAsia="方正仿宋_GBK"/>
                <w:color w:val="auto"/>
                <w:kern w:val="0"/>
                <w:sz w:val="30"/>
                <w:szCs w:val="30"/>
                <w:lang w:bidi="ar"/>
              </w:rPr>
              <w:t>拨</w:t>
            </w:r>
            <w:r>
              <w:rPr>
                <w:rFonts w:ascii="Times New Roman" w:hAnsi="Times New Roman" w:eastAsia="方正仿宋_GBK"/>
                <w:color w:val="auto"/>
                <w:kern w:val="0"/>
                <w:sz w:val="30"/>
                <w:szCs w:val="30"/>
                <w:lang w:bidi="ar"/>
              </w:rPr>
              <w:t>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资金流量表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内部统计分析表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银行业务累计统计表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贷款手续费预提表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归集手续费预报表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实时个贷率、逾期率查询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报表台</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报表校验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月度开户人数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开户及与年初比较情况表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月业务情况同比表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经营、余额情况表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归集额统计表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日资金流量表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各分部数据统计表</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月结管理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月结查询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申请受理管理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带押过户信息初审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带押过户信息采集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带押过户信息复审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贷款信息辅助录入审批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线上贷款申请受理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档案资料归档扫描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特殊资料扫描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贷款申请退回</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借款凭证扫描件</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申请资料修改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申请资料录入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咨询受理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贷款信息辅助录入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审批提示管理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贷款审批</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管理机构初审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贷款撤销审批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管理机构审批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划款批次管理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贷款待发放统计表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划款审核通过回退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批次打印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划款批次查询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划款批次取消</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划款批次审核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划款批次制作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带押过户划款通知书打印（银行权限）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放款结算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放款发送与结果接收</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放款失败修改复审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放款失败修改初审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疑似跨行放款退款查询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重划跨行放款失败款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放款核算确认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贷款核销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放款结果情况查询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放款失败修改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扣款数据情况查询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生成扣款数据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逾期冲还划扣查询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待生成还款计划</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抵押管理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抵押登记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合同补录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合同确认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贴息贷款资料扫描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轮候管理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查询与统计</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贷款结清查询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流程信息查询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可放贷款查询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已放贷款查询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还款逾期查询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银行业务查询报表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个人业务办理查询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个人工作量统计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单位工作量统计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贷款业务办理统计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征信上报查询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征信报告查询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异地缴存证明查询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贷款查询一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贷款查询二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账目明细查询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还款数据汇总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放款明细查询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逾期数据汇总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贷款余额查询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项目信息查询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轮候汇总情况表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轮候明细情况表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实时还款情况表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贴息贷款放款还款情况查询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贴息贷款明细检查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贴息贷款数据交换监控平台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贴息贷款状态查询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异常贴息放款数据查询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异常贴息还款数据查询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资金业务流程跟踪</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带押过户业务统计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贷款信息辅助录入查询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带押过户信息采集查询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贷款到期未结清查询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个人信息亮码查询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贴息贷款放款结果查询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贴息贷款审批结果查询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贷款审批查询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合同信息查询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抵押信息查询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项目管理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项目信息登记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贷款计息恢复</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延期还款申请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带押过户停息申请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贷后申请撤销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提前还款申请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还款方式变更申请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贷后资料变更申请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贷后申请查询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还款计划生成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逾期追收登记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贷款停息</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贷后审批</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提前还款中心初审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提前还款中心复审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还款方式变更中心初审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还款方式变更中心复审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贷后资料变更审批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贷款停息初审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贷款停息复审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贷款计息恢复初审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贷款计息恢复复审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退款申请初审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退款申请复审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延迟还款申请初审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延迟还款申请复审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带押过户停息审批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带押过户退款审批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提前冲还贷中心初审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提前冲还贷中心复审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逾期冲还划扣中心初审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逾期冲还划扣中心复审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贷后撤销申请审批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项目管理审批</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项目登记初审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项目登记复审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置换管理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置换申请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置换复审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置换初审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贴息受理管理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申请资料修改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贷款申请退回</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申请撤销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贴息申请录入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贴息参数设置</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贴息平均利率设置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贴息贷款参数设置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贴息贷款额度设置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贴息贷款银行设置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贴息置换</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批量贴息置换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贴息置换查询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贴息置换还款查询</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公共系统</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系统管理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派单权限管理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中心查询权限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管理部查询权限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网点查询权限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资源管理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角色管理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用户管理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部门管理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部门维护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信息发布管理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公告信息发布</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代码维护</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代码维护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参数设置</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缴存比例设置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系统参数设置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部门参数设置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休息日设置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利费维护</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利费维护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扫描管理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扫描资料配置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日志管理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日志查询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交易管理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短信查询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日常监控查询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手工数据发送</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可靠消息查询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可靠消息历史查询</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归集系统</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账户管理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单位销户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个人开户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单位资料扫描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个人账户转移</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账户合并</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本市转移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职工多</w:t>
            </w:r>
            <w:r>
              <w:rPr>
                <w:rFonts w:hint="eastAsia" w:ascii="Times New Roman" w:hAnsi="Times New Roman" w:eastAsia="方正仿宋_GBK"/>
                <w:color w:val="auto"/>
                <w:kern w:val="0"/>
                <w:sz w:val="30"/>
                <w:szCs w:val="30"/>
                <w:lang w:bidi="ar"/>
              </w:rPr>
              <w:t>账</w:t>
            </w:r>
            <w:r>
              <w:rPr>
                <w:rFonts w:ascii="Times New Roman" w:hAnsi="Times New Roman" w:eastAsia="方正仿宋_GBK"/>
                <w:color w:val="auto"/>
                <w:kern w:val="0"/>
                <w:sz w:val="30"/>
                <w:szCs w:val="30"/>
                <w:lang w:bidi="ar"/>
              </w:rPr>
              <w:t>户查询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单位恢复比例登记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年度基数调整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调整缴存额</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个人补缴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暂存款转移查询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暂存款转移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单位汇缴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收款登记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多缴错缴退款申请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单位复缴登记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年度二次调整申请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网上业务登记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绑定付款账号登记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托收登记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单位降低比例登记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单位缓缴登记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提取失败修改复审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提取失败数据修改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管理部复审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管理部初审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提取注销确认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提取注销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共有提取人管理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资料变更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疑似跨行提取退款查询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提取定额</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提取定额</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房屋地址修改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提取面签审核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提取面签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约定金额估算统计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约定提取金额试算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跨区信息核查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提取初审查询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重划跨行提取款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复核管理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单位信息复核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个人信息复核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单位信息复核（银行）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上市缴存证明复核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账户合并复核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汇入款退回业务查询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暂存款退回进度查询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多缴错缴退款中心审批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退暂存款业务复审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收款登记复核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汇缴复核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补缴复核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本市转移复核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暂存款转移复核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复核流水查询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受理业务查询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查询打印</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插件与模板下载</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年度结息汇总单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缴存信息变更查询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个人信息变更查询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单位信息变更查询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提取注销结果查询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自动转账结果查询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托收结果查询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收款查询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跨区账户合并查询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通缴登记业务查询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提取工作量明细表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公积金贷款信息查询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商品房合同信息查询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存量房信息查询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缴存证明查询打印日志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商业贷款基本信息查询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商业贷款还款明细查询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资金业务流程跟踪</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待分配汇缴单位查询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提取凭证补打</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归集催缴查询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所属单位查询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单位归集数据查询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单位结息对账单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单位缴存证明</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单位历史余额查询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收款明细查询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个人结息对账单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预提利息汇总单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年度基数调整查询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统计管理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归集情况统计表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个人新开户统计表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提取工作量统计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网点业务量统计表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缴存统计表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工作量统计表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信息维护</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开发商银行管理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中心个人账户删除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个人手机号批量变更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单位信息变更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个人信息变更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个人账户删除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个人账户冻结</w:t>
            </w:r>
            <w:r>
              <w:rPr>
                <w:rStyle w:val="22"/>
                <w:rFonts w:ascii="Times New Roman" w:hAnsi="Times New Roman" w:eastAsia="方正仿宋_GBK" w:cs="Times New Roman"/>
                <w:color w:val="auto"/>
                <w:sz w:val="30"/>
                <w:szCs w:val="30"/>
                <w:lang w:bidi="ar"/>
              </w:rPr>
              <w:t>/</w:t>
            </w:r>
            <w:r>
              <w:rPr>
                <w:rStyle w:val="23"/>
                <w:rFonts w:hint="default" w:ascii="Times New Roman" w:hAnsi="Times New Roman" w:eastAsia="方正仿宋_GBK" w:cs="Times New Roman"/>
                <w:color w:val="auto"/>
                <w:sz w:val="30"/>
                <w:szCs w:val="30"/>
                <w:lang w:bidi="ar"/>
              </w:rPr>
              <w:t>解冻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单位汇缴年月修改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黑名单管理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日结管理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日结确认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开具证明管理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开具证明申请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开具证明查询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异地转移业务</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转入查询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转入撤销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转出办理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转出查询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转入办理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转入审核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预约管理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预约设置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预约信息查询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网点维护功能</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方正仿宋_GBK"/>
                <w:color w:val="auto"/>
                <w:sz w:val="30"/>
                <w:szCs w:val="30"/>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预约信息统计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方正仿宋_GBK"/>
                <w:color w:val="auto"/>
                <w:sz w:val="30"/>
                <w:szCs w:val="3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退款管理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Times New Roman" w:hAnsi="Times New Roman" w:eastAsia="方正仿宋_GBK"/>
                <w:color w:val="auto"/>
                <w:sz w:val="30"/>
                <w:szCs w:val="30"/>
              </w:rPr>
            </w:pPr>
            <w:r>
              <w:rPr>
                <w:rFonts w:ascii="Times New Roman" w:hAnsi="Times New Roman" w:eastAsia="方正仿宋_GBK"/>
                <w:color w:val="auto"/>
                <w:kern w:val="0"/>
                <w:sz w:val="30"/>
                <w:szCs w:val="30"/>
                <w:lang w:bidi="ar"/>
              </w:rPr>
              <w:t>重划同行提取款</w:t>
            </w:r>
          </w:p>
        </w:tc>
      </w:tr>
      <w:tr>
        <w:tblPrEx>
          <w:tblCellMar>
            <w:top w:w="0" w:type="dxa"/>
            <w:left w:w="108" w:type="dxa"/>
            <w:bottom w:w="0" w:type="dxa"/>
            <w:right w:w="108" w:type="dxa"/>
          </w:tblCellMar>
        </w:tblPrEx>
        <w:trPr>
          <w:trHeight w:val="264" w:hRule="atLeast"/>
        </w:trPr>
        <w:tc>
          <w:tcPr>
            <w:tcW w:w="8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ascii="Times New Roman" w:hAnsi="Times New Roman" w:eastAsia="方正仿宋_GBK"/>
                <w:color w:val="auto"/>
                <w:kern w:val="0"/>
                <w:sz w:val="30"/>
                <w:szCs w:val="30"/>
                <w:lang w:bidi="ar"/>
              </w:rPr>
            </w:pPr>
            <w:r>
              <w:rPr>
                <w:rFonts w:ascii="Times New Roman" w:hAnsi="Times New Roman" w:eastAsia="方正仿宋_GBK"/>
                <w:color w:val="auto"/>
                <w:sz w:val="30"/>
                <w:szCs w:val="30"/>
              </w:rPr>
              <w:t>智慧公积金服务接口(含单位业务和个人业务）</w:t>
            </w:r>
          </w:p>
        </w:tc>
      </w:tr>
      <w:tr>
        <w:tblPrEx>
          <w:tblCellMar>
            <w:top w:w="0" w:type="dxa"/>
            <w:left w:w="108" w:type="dxa"/>
            <w:bottom w:w="0" w:type="dxa"/>
            <w:right w:w="108" w:type="dxa"/>
          </w:tblCellMar>
        </w:tblPrEx>
        <w:trPr>
          <w:trHeight w:val="264" w:hRule="atLeast"/>
        </w:trPr>
        <w:tc>
          <w:tcPr>
            <w:tcW w:w="8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ascii="Times New Roman" w:hAnsi="Times New Roman" w:eastAsia="方正仿宋_GBK"/>
                <w:color w:val="auto"/>
                <w:kern w:val="0"/>
                <w:sz w:val="30"/>
                <w:szCs w:val="30"/>
                <w:lang w:bidi="ar"/>
              </w:rPr>
            </w:pPr>
            <w:r>
              <w:rPr>
                <w:rFonts w:ascii="Times New Roman" w:hAnsi="Times New Roman" w:eastAsia="方正仿宋_GBK"/>
                <w:color w:val="auto"/>
                <w:sz w:val="30"/>
                <w:szCs w:val="30"/>
              </w:rPr>
              <w:t>数据上报接口</w:t>
            </w:r>
          </w:p>
        </w:tc>
      </w:tr>
    </w:tbl>
    <w:p>
      <w:pPr>
        <w:ind w:firstLine="560" w:firstLineChars="200"/>
        <w:rPr>
          <w:rFonts w:ascii="Times New Roman" w:hAnsi="Times New Roman"/>
          <w:color w:val="auto"/>
          <w:sz w:val="28"/>
          <w:szCs w:val="28"/>
        </w:rPr>
      </w:pPr>
    </w:p>
    <w:p>
      <w:pPr>
        <w:ind w:firstLine="560" w:firstLineChars="200"/>
        <w:rPr>
          <w:rFonts w:ascii="Times New Roman" w:hAnsi="Times New Roman"/>
          <w:color w:val="auto"/>
          <w:sz w:val="28"/>
          <w:szCs w:val="28"/>
        </w:rPr>
      </w:pPr>
    </w:p>
    <w:p>
      <w:pPr>
        <w:ind w:firstLine="560" w:firstLineChars="200"/>
        <w:rPr>
          <w:rFonts w:ascii="Times New Roman" w:hAnsi="Times New Roman"/>
          <w:color w:val="auto"/>
          <w:sz w:val="28"/>
          <w:szCs w:val="28"/>
        </w:rPr>
      </w:pPr>
    </w:p>
    <w:p>
      <w:pPr>
        <w:pStyle w:val="5"/>
        <w:spacing w:line="480" w:lineRule="exact"/>
        <w:ind w:firstLine="480" w:firstLineChars="200"/>
        <w:rPr>
          <w:rFonts w:ascii="Times New Roman" w:hAnsi="Times New Roman"/>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方正大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9838910"/>
    </w:sdtPr>
    <w:sdtContent>
      <w:sdt>
        <w:sdtPr>
          <w:id w:val="-1669238322"/>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 w:name="KSO_WPS_MARK_KEY" w:val="582d3d55-80ad-443a-99b7-af3e6fe0f010"/>
  </w:docVars>
  <w:rsids>
    <w:rsidRoot w:val="008C3B63"/>
    <w:rsid w:val="000038DF"/>
    <w:rsid w:val="000E5685"/>
    <w:rsid w:val="0012274F"/>
    <w:rsid w:val="001A2976"/>
    <w:rsid w:val="001B11F9"/>
    <w:rsid w:val="001E31E1"/>
    <w:rsid w:val="002B7C53"/>
    <w:rsid w:val="002D21B5"/>
    <w:rsid w:val="003110DA"/>
    <w:rsid w:val="003D2D45"/>
    <w:rsid w:val="003F6A4A"/>
    <w:rsid w:val="00413880"/>
    <w:rsid w:val="0043316B"/>
    <w:rsid w:val="00443118"/>
    <w:rsid w:val="00462F8F"/>
    <w:rsid w:val="00493D8E"/>
    <w:rsid w:val="005162F8"/>
    <w:rsid w:val="00532DC8"/>
    <w:rsid w:val="00552123"/>
    <w:rsid w:val="005629CF"/>
    <w:rsid w:val="00577178"/>
    <w:rsid w:val="005B38C9"/>
    <w:rsid w:val="005F77D4"/>
    <w:rsid w:val="0061594D"/>
    <w:rsid w:val="00622823"/>
    <w:rsid w:val="00630176"/>
    <w:rsid w:val="006A2E4A"/>
    <w:rsid w:val="006A2F58"/>
    <w:rsid w:val="006C246E"/>
    <w:rsid w:val="006E7939"/>
    <w:rsid w:val="006F251C"/>
    <w:rsid w:val="00716348"/>
    <w:rsid w:val="0074595E"/>
    <w:rsid w:val="00761E4A"/>
    <w:rsid w:val="00824007"/>
    <w:rsid w:val="00834679"/>
    <w:rsid w:val="0084055C"/>
    <w:rsid w:val="00854A21"/>
    <w:rsid w:val="00866EEF"/>
    <w:rsid w:val="00885F10"/>
    <w:rsid w:val="008A59B8"/>
    <w:rsid w:val="008B4C09"/>
    <w:rsid w:val="008B6AB3"/>
    <w:rsid w:val="008C3B63"/>
    <w:rsid w:val="009C2A70"/>
    <w:rsid w:val="00A057AC"/>
    <w:rsid w:val="00A12025"/>
    <w:rsid w:val="00A14402"/>
    <w:rsid w:val="00A2192F"/>
    <w:rsid w:val="00A43D5C"/>
    <w:rsid w:val="00AA26FC"/>
    <w:rsid w:val="00AE7D13"/>
    <w:rsid w:val="00B046C4"/>
    <w:rsid w:val="00B0471C"/>
    <w:rsid w:val="00B14FE4"/>
    <w:rsid w:val="00B3080F"/>
    <w:rsid w:val="00B34654"/>
    <w:rsid w:val="00B465B5"/>
    <w:rsid w:val="00B51D4B"/>
    <w:rsid w:val="00BC53C4"/>
    <w:rsid w:val="00C07610"/>
    <w:rsid w:val="00C13234"/>
    <w:rsid w:val="00C32CFD"/>
    <w:rsid w:val="00C571B7"/>
    <w:rsid w:val="00C810F6"/>
    <w:rsid w:val="00CA16AD"/>
    <w:rsid w:val="00D30AC7"/>
    <w:rsid w:val="00D83863"/>
    <w:rsid w:val="00D87874"/>
    <w:rsid w:val="00D917DC"/>
    <w:rsid w:val="00DB598F"/>
    <w:rsid w:val="00DC6D52"/>
    <w:rsid w:val="00DE7C2A"/>
    <w:rsid w:val="00E03B22"/>
    <w:rsid w:val="00E43A15"/>
    <w:rsid w:val="00E710B7"/>
    <w:rsid w:val="00E75756"/>
    <w:rsid w:val="00E9130E"/>
    <w:rsid w:val="00EB4D31"/>
    <w:rsid w:val="00ED2CC7"/>
    <w:rsid w:val="00EF242C"/>
    <w:rsid w:val="00EF7A30"/>
    <w:rsid w:val="00F04095"/>
    <w:rsid w:val="00F23D96"/>
    <w:rsid w:val="00F24F11"/>
    <w:rsid w:val="00F311DC"/>
    <w:rsid w:val="00F337FB"/>
    <w:rsid w:val="00F7413A"/>
    <w:rsid w:val="00FA22B2"/>
    <w:rsid w:val="03FD6442"/>
    <w:rsid w:val="06F6158D"/>
    <w:rsid w:val="083D42EA"/>
    <w:rsid w:val="087E378B"/>
    <w:rsid w:val="0B6C40BC"/>
    <w:rsid w:val="0E5119FA"/>
    <w:rsid w:val="11FA5357"/>
    <w:rsid w:val="1262332C"/>
    <w:rsid w:val="1C460098"/>
    <w:rsid w:val="1FDD0294"/>
    <w:rsid w:val="20526909"/>
    <w:rsid w:val="21E3597E"/>
    <w:rsid w:val="246B5882"/>
    <w:rsid w:val="262F2712"/>
    <w:rsid w:val="26367416"/>
    <w:rsid w:val="28321B2D"/>
    <w:rsid w:val="299A7AF9"/>
    <w:rsid w:val="2D82768F"/>
    <w:rsid w:val="2F384F0F"/>
    <w:rsid w:val="2F8867B5"/>
    <w:rsid w:val="31B63FAB"/>
    <w:rsid w:val="329451A2"/>
    <w:rsid w:val="376C68FE"/>
    <w:rsid w:val="380B78F8"/>
    <w:rsid w:val="3D4A21CD"/>
    <w:rsid w:val="3DB657B3"/>
    <w:rsid w:val="41135449"/>
    <w:rsid w:val="417C77CC"/>
    <w:rsid w:val="4A1F7CEC"/>
    <w:rsid w:val="4E5E50C9"/>
    <w:rsid w:val="5E5F51DA"/>
    <w:rsid w:val="5F5F7C57"/>
    <w:rsid w:val="60370781"/>
    <w:rsid w:val="61B04DC4"/>
    <w:rsid w:val="61EB3354"/>
    <w:rsid w:val="62A414BE"/>
    <w:rsid w:val="67066B90"/>
    <w:rsid w:val="68787A6C"/>
    <w:rsid w:val="695B1B46"/>
    <w:rsid w:val="6D2A35AE"/>
    <w:rsid w:val="702E0250"/>
    <w:rsid w:val="73D454D2"/>
    <w:rsid w:val="78436D8D"/>
    <w:rsid w:val="7C0C6ACE"/>
    <w:rsid w:val="7F31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autoSpaceDE w:val="0"/>
      <w:autoSpaceDN w:val="0"/>
      <w:adjustRightInd w:val="0"/>
      <w:spacing w:before="340" w:after="330" w:line="578" w:lineRule="auto"/>
      <w:jc w:val="left"/>
      <w:textAlignment w:val="baseline"/>
      <w:outlineLvl w:val="0"/>
    </w:pPr>
    <w:rPr>
      <w:rFonts w:ascii="宋体" w:hAnsi="Times New Roman"/>
      <w:b/>
      <w:kern w:val="44"/>
      <w:sz w:val="44"/>
      <w:szCs w:val="20"/>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style>
  <w:style w:type="paragraph" w:styleId="4">
    <w:name w:val="annotation text"/>
    <w:basedOn w:val="1"/>
    <w:link w:val="19"/>
    <w:semiHidden/>
    <w:unhideWhenUsed/>
    <w:qFormat/>
    <w:uiPriority w:val="99"/>
    <w:pPr>
      <w:jc w:val="left"/>
    </w:pPr>
  </w:style>
  <w:style w:type="paragraph" w:styleId="5">
    <w:name w:val="Plain Text"/>
    <w:basedOn w:val="1"/>
    <w:link w:val="18"/>
    <w:qFormat/>
    <w:uiPriority w:val="0"/>
    <w:rPr>
      <w:rFonts w:ascii="宋体" w:hAnsi="Courier New"/>
      <w:szCs w:val="20"/>
      <w:lang w:val="zh-CN"/>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0"/>
    <w:semiHidden/>
    <w:unhideWhenUsed/>
    <w:qFormat/>
    <w:uiPriority w:val="99"/>
    <w:rPr>
      <w:b/>
      <w:bCs/>
    </w:rPr>
  </w:style>
  <w:style w:type="character" w:styleId="13">
    <w:name w:val="Strong"/>
    <w:basedOn w:val="12"/>
    <w:qFormat/>
    <w:uiPriority w:val="0"/>
    <w:rPr>
      <w:b/>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1 字符"/>
    <w:basedOn w:val="12"/>
    <w:link w:val="2"/>
    <w:qFormat/>
    <w:uiPriority w:val="0"/>
    <w:rPr>
      <w:rFonts w:ascii="宋体" w:hAnsi="Times New Roman" w:eastAsia="宋体" w:cs="Times New Roman"/>
      <w:b/>
      <w:kern w:val="44"/>
      <w:sz w:val="44"/>
      <w:szCs w:val="20"/>
      <w:lang w:val="zh-CN" w:eastAsia="zh-CN"/>
    </w:rPr>
  </w:style>
  <w:style w:type="character" w:customStyle="1" w:styleId="18">
    <w:name w:val="纯文本 字符"/>
    <w:basedOn w:val="12"/>
    <w:link w:val="5"/>
    <w:qFormat/>
    <w:uiPriority w:val="0"/>
    <w:rPr>
      <w:rFonts w:ascii="宋体" w:hAnsi="Courier New" w:eastAsia="宋体" w:cs="Times New Roman"/>
      <w:szCs w:val="20"/>
      <w:lang w:val="zh-CN" w:eastAsia="zh-CN"/>
    </w:rPr>
  </w:style>
  <w:style w:type="character" w:customStyle="1" w:styleId="19">
    <w:name w:val="批注文字 字符"/>
    <w:basedOn w:val="12"/>
    <w:link w:val="4"/>
    <w:semiHidden/>
    <w:qFormat/>
    <w:uiPriority w:val="99"/>
    <w:rPr>
      <w:rFonts w:ascii="Calibri" w:hAnsi="Calibri" w:eastAsia="宋体" w:cs="Times New Roman"/>
    </w:rPr>
  </w:style>
  <w:style w:type="character" w:customStyle="1" w:styleId="20">
    <w:name w:val="批注主题 字符"/>
    <w:basedOn w:val="19"/>
    <w:link w:val="10"/>
    <w:semiHidden/>
    <w:qFormat/>
    <w:uiPriority w:val="99"/>
    <w:rPr>
      <w:rFonts w:ascii="Calibri" w:hAnsi="Calibri" w:eastAsia="宋体" w:cs="Times New Roman"/>
      <w:b/>
      <w:bCs/>
    </w:rPr>
  </w:style>
  <w:style w:type="character" w:customStyle="1" w:styleId="21">
    <w:name w:val="批注框文本 字符"/>
    <w:basedOn w:val="12"/>
    <w:link w:val="6"/>
    <w:semiHidden/>
    <w:qFormat/>
    <w:uiPriority w:val="99"/>
    <w:rPr>
      <w:rFonts w:ascii="Calibri" w:hAnsi="Calibri" w:eastAsia="宋体" w:cs="Times New Roman"/>
      <w:sz w:val="18"/>
      <w:szCs w:val="18"/>
    </w:rPr>
  </w:style>
  <w:style w:type="character" w:customStyle="1" w:styleId="22">
    <w:name w:val="font01"/>
    <w:basedOn w:val="12"/>
    <w:qFormat/>
    <w:uiPriority w:val="0"/>
    <w:rPr>
      <w:rFonts w:ascii="Segoe UI" w:hAnsi="Segoe UI" w:eastAsia="Segoe UI" w:cs="Segoe UI"/>
      <w:color w:val="000000"/>
      <w:sz w:val="18"/>
      <w:szCs w:val="18"/>
      <w:u w:val="none"/>
    </w:rPr>
  </w:style>
  <w:style w:type="character" w:customStyle="1" w:styleId="23">
    <w:name w:val="font31"/>
    <w:basedOn w:val="12"/>
    <w:qFormat/>
    <w:uiPriority w:val="0"/>
    <w:rPr>
      <w:rFonts w:hint="eastAsia" w:ascii="宋体" w:hAnsi="宋体" w:eastAsia="宋体" w:cs="宋体"/>
      <w:color w:val="000000"/>
      <w:sz w:val="18"/>
      <w:szCs w:val="18"/>
      <w:u w:val="none"/>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本文正文 Char1 Char Char Char Char Char Char Char Char Char Char Char Char Char Char Char Char Char Char Char Char Char Char Char Char Char Char"/>
    <w:link w:val="26"/>
    <w:qFormat/>
    <w:uiPriority w:val="0"/>
    <w:rPr>
      <w:rFonts w:ascii="宋体" w:hAnsi="宋体"/>
    </w:rPr>
  </w:style>
  <w:style w:type="paragraph" w:customStyle="1" w:styleId="26">
    <w:name w:val="本文正文 Char1 Char Char Char Char Char Char Char Char Char Char Char Char Char Char Char Char Char Char Char Char Char Char Char Char"/>
    <w:basedOn w:val="1"/>
    <w:link w:val="25"/>
    <w:qFormat/>
    <w:uiPriority w:val="0"/>
    <w:pPr>
      <w:spacing w:line="480" w:lineRule="exact"/>
      <w:ind w:firstLine="200" w:firstLineChars="200"/>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AEA53-7D31-4B51-B819-9AD44CD2A3AE}">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6893</Words>
  <Characters>7029</Characters>
  <Lines>68</Lines>
  <Paragraphs>19</Paragraphs>
  <TotalTime>4</TotalTime>
  <ScaleCrop>false</ScaleCrop>
  <LinksUpToDate>false</LinksUpToDate>
  <CharactersWithSpaces>7035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2024-06-17T09:19:00Z</dcterms:created>
  <dc:creator>cx</dc:creator>
  <cp:lastModifiedBy>PC</cp:lastModifiedBy>
  <cp:lastPrinted>2024-06-20T09:02:00Z</cp:lastPrinted>
  <dcterms:modified xsi:type="dcterms:W3CDTF">2026-06-09T01:02:14Z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4B73BE7611494A2B879B6B1EAA74AC21_12</vt:lpwstr>
  </property>
  <property fmtid="{D5CDD505-2E9C-101B-9397-08002B2CF9AE}" pid="4" name="KSOTemplateDocerSaveRecord">
    <vt:lpwstr>eyJoZGlkIjoiODhmNTFlMjcxNjkzMGM3OWVkODZlZGNmYTFmNWU3NjQiLCJ1c2VySWQiOiI3NTE5NjAyNDgifQ==</vt:lpwstr>
  </property>
</Properties>
</file>