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仿宋_GB2312" w:hAnsi="宋体" w:eastAsia="仿宋_GB2312" w:cs="宋体"/>
          <w:sz w:val="32"/>
          <w:szCs w:val="32"/>
        </w:rPr>
      </w:pPr>
      <w:r>
        <w:rPr>
          <w:rFonts w:hint="eastAsia" w:ascii="仿宋_GB2312" w:hAnsi="宋体" w:eastAsia="仿宋_GB2312" w:cs="宋体"/>
          <w:sz w:val="32"/>
          <w:szCs w:val="32"/>
        </w:rPr>
        <w:t>附件2：</w:t>
      </w:r>
    </w:p>
    <w:p>
      <w:pPr>
        <w:spacing w:line="580" w:lineRule="exact"/>
        <w:jc w:val="center"/>
        <w:rPr>
          <w:rFonts w:cs="宋体" w:asciiTheme="minorEastAsia" w:hAnsiTheme="minorEastAsia"/>
          <w:b/>
          <w:sz w:val="36"/>
          <w:szCs w:val="32"/>
        </w:rPr>
      </w:pPr>
      <w:r>
        <w:rPr>
          <w:rFonts w:hint="eastAsia" w:cs="宋体" w:asciiTheme="minorEastAsia" w:hAnsiTheme="minorEastAsia"/>
          <w:b/>
          <w:sz w:val="36"/>
          <w:szCs w:val="32"/>
        </w:rPr>
        <w:t>评分表</w:t>
      </w:r>
    </w:p>
    <w:tbl>
      <w:tblPr>
        <w:tblStyle w:val="2"/>
        <w:tblW w:w="8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56"/>
        <w:gridCol w:w="5528"/>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4" w:type="dxa"/>
            <w:vAlign w:val="center"/>
          </w:tcPr>
          <w:p>
            <w:pPr>
              <w:pStyle w:val="4"/>
              <w:spacing w:line="400" w:lineRule="exact"/>
              <w:ind w:firstLine="0" w:firstLineChars="0"/>
              <w:jc w:val="center"/>
              <w:rPr>
                <w:rFonts w:ascii="宋体" w:eastAsia="宋体" w:cs="宋体"/>
                <w:b/>
                <w:sz w:val="22"/>
                <w:szCs w:val="22"/>
              </w:rPr>
            </w:pPr>
            <w:r>
              <w:rPr>
                <w:rFonts w:hint="eastAsia" w:ascii="宋体" w:eastAsia="宋体" w:cs="宋体"/>
                <w:b/>
                <w:sz w:val="22"/>
                <w:szCs w:val="22"/>
              </w:rPr>
              <w:t>序号</w:t>
            </w:r>
          </w:p>
        </w:tc>
        <w:tc>
          <w:tcPr>
            <w:tcW w:w="1356" w:type="dxa"/>
            <w:vAlign w:val="center"/>
          </w:tcPr>
          <w:p>
            <w:pPr>
              <w:pStyle w:val="4"/>
              <w:spacing w:line="400" w:lineRule="exact"/>
              <w:ind w:firstLine="0" w:firstLineChars="0"/>
              <w:jc w:val="center"/>
              <w:rPr>
                <w:rFonts w:ascii="宋体" w:eastAsia="宋体" w:cs="宋体"/>
                <w:b/>
                <w:sz w:val="22"/>
                <w:szCs w:val="22"/>
              </w:rPr>
            </w:pPr>
            <w:r>
              <w:rPr>
                <w:rFonts w:hint="eastAsia" w:ascii="仿宋" w:hAnsi="仿宋" w:eastAsia="仿宋"/>
                <w:b/>
                <w:sz w:val="28"/>
                <w:szCs w:val="28"/>
              </w:rPr>
              <w:t>评分项目及权重</w:t>
            </w:r>
          </w:p>
        </w:tc>
        <w:tc>
          <w:tcPr>
            <w:tcW w:w="5528" w:type="dxa"/>
            <w:vAlign w:val="center"/>
          </w:tcPr>
          <w:p>
            <w:pPr>
              <w:pStyle w:val="4"/>
              <w:spacing w:line="400" w:lineRule="exact"/>
              <w:ind w:firstLine="0" w:firstLineChars="0"/>
              <w:jc w:val="center"/>
              <w:rPr>
                <w:rFonts w:ascii="宋体" w:eastAsia="宋体" w:cs="宋体"/>
                <w:b/>
                <w:sz w:val="22"/>
                <w:szCs w:val="22"/>
              </w:rPr>
            </w:pPr>
            <w:r>
              <w:rPr>
                <w:rFonts w:hint="eastAsia" w:ascii="宋体" w:eastAsia="宋体" w:cs="宋体"/>
                <w:b/>
                <w:sz w:val="22"/>
                <w:szCs w:val="22"/>
              </w:rPr>
              <w:t>评分标准</w:t>
            </w:r>
          </w:p>
        </w:tc>
        <w:tc>
          <w:tcPr>
            <w:tcW w:w="888" w:type="dxa"/>
            <w:vAlign w:val="center"/>
          </w:tcPr>
          <w:p>
            <w:pPr>
              <w:pStyle w:val="4"/>
              <w:spacing w:line="400" w:lineRule="exact"/>
              <w:ind w:firstLine="0" w:firstLineChars="0"/>
              <w:jc w:val="center"/>
              <w:rPr>
                <w:rFonts w:ascii="宋体" w:eastAsia="宋体" w:cs="宋体"/>
                <w:b/>
                <w:sz w:val="22"/>
                <w:szCs w:val="22"/>
              </w:rPr>
            </w:pPr>
            <w:r>
              <w:rPr>
                <w:rFonts w:hint="eastAsia" w:ascii="宋体" w:eastAsia="宋体" w:cs="宋体"/>
                <w:b/>
                <w:sz w:val="22"/>
                <w:szCs w:val="2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1</w:t>
            </w:r>
          </w:p>
        </w:tc>
        <w:tc>
          <w:tcPr>
            <w:tcW w:w="1356" w:type="dxa"/>
            <w:vAlign w:val="center"/>
          </w:tcPr>
          <w:p>
            <w:pPr>
              <w:pStyle w:val="4"/>
              <w:spacing w:line="360" w:lineRule="exact"/>
              <w:ind w:firstLine="0" w:firstLineChars="0"/>
              <w:jc w:val="center"/>
              <w:rPr>
                <w:rFonts w:cs="宋体"/>
                <w:kern w:val="0"/>
                <w:sz w:val="24"/>
                <w:lang w:val="en"/>
              </w:rPr>
            </w:pPr>
            <w:r>
              <w:rPr>
                <w:rFonts w:hint="eastAsia" w:cs="宋体"/>
                <w:kern w:val="0"/>
                <w:sz w:val="24"/>
                <w:lang w:val="en"/>
              </w:rPr>
              <w:t>价格</w:t>
            </w:r>
          </w:p>
          <w:p>
            <w:pPr>
              <w:pStyle w:val="4"/>
              <w:spacing w:line="360" w:lineRule="exact"/>
              <w:ind w:firstLine="0" w:firstLineChars="0"/>
              <w:jc w:val="center"/>
              <w:rPr>
                <w:rFonts w:cs="宋体"/>
                <w:kern w:val="0"/>
                <w:sz w:val="24"/>
                <w:lang w:val="en"/>
              </w:rPr>
            </w:pPr>
            <w:r>
              <w:rPr>
                <w:rFonts w:hint="eastAsia" w:cs="宋体"/>
                <w:kern w:val="0"/>
                <w:sz w:val="24"/>
                <w:lang w:val="en"/>
              </w:rPr>
              <w:t>（15分）</w:t>
            </w:r>
          </w:p>
        </w:tc>
        <w:tc>
          <w:tcPr>
            <w:tcW w:w="5528" w:type="dxa"/>
            <w:vAlign w:val="center"/>
          </w:tcPr>
          <w:p>
            <w:pPr>
              <w:pStyle w:val="4"/>
              <w:spacing w:line="360" w:lineRule="exact"/>
              <w:ind w:firstLine="0" w:firstLineChars="0"/>
              <w:jc w:val="left"/>
              <w:rPr>
                <w:rFonts w:cs="宋体"/>
                <w:kern w:val="0"/>
                <w:sz w:val="24"/>
                <w:lang w:val="en"/>
              </w:rPr>
            </w:pPr>
            <w:r>
              <w:rPr>
                <w:rFonts w:hint="eastAsia" w:cs="宋体"/>
                <w:kern w:val="0"/>
                <w:sz w:val="24"/>
                <w:lang w:val="en"/>
              </w:rPr>
              <w:t>取满足采购文件要求且价格扣除后的最低投标报价作为评标基准价，其价格分为满分。其他供应商的价格分统一按照下列公式计算：价格扣除后的投标报价得分=（评标基准价/价格扣除后的投标报价）×15 </w:t>
            </w:r>
          </w:p>
          <w:p>
            <w:pPr>
              <w:pStyle w:val="4"/>
              <w:spacing w:line="360" w:lineRule="exact"/>
              <w:ind w:firstLine="0" w:firstLineChars="0"/>
              <w:jc w:val="left"/>
              <w:rPr>
                <w:rFonts w:cs="宋体"/>
                <w:kern w:val="0"/>
                <w:sz w:val="24"/>
                <w:lang w:val="en"/>
              </w:rPr>
            </w:pPr>
            <w:r>
              <w:rPr>
                <w:rFonts w:hint="eastAsia" w:cs="宋体"/>
                <w:kern w:val="0"/>
                <w:sz w:val="24"/>
                <w:lang w:val="en"/>
              </w:rPr>
              <w:t>（对符合规定的小型和微型企业（监狱企业、残疾人福利单位视同小型、微型企业）报价给予10%的价格扣除。）</w:t>
            </w:r>
          </w:p>
        </w:tc>
        <w:tc>
          <w:tcPr>
            <w:tcW w:w="888" w:type="dxa"/>
            <w:vAlign w:val="center"/>
          </w:tcPr>
          <w:p>
            <w:pPr>
              <w:pStyle w:val="4"/>
              <w:spacing w:line="360" w:lineRule="exact"/>
              <w:ind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2</w:t>
            </w:r>
          </w:p>
        </w:tc>
        <w:tc>
          <w:tcPr>
            <w:tcW w:w="1356" w:type="dxa"/>
            <w:vMerge w:val="restart"/>
            <w:vAlign w:val="center"/>
          </w:tcPr>
          <w:p>
            <w:pPr>
              <w:spacing w:line="36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项目方案及服务工作计划</w:t>
            </w:r>
          </w:p>
          <w:p>
            <w:pPr>
              <w:spacing w:line="36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（3</w:t>
            </w:r>
            <w:r>
              <w:rPr>
                <w:rFonts w:hint="eastAsia" w:ascii="仿宋_GB2312" w:hAnsi="宋体" w:eastAsia="仿宋_GB2312" w:cs="宋体"/>
                <w:kern w:val="0"/>
                <w:sz w:val="24"/>
                <w:szCs w:val="24"/>
              </w:rPr>
              <w:t>0</w:t>
            </w:r>
            <w:r>
              <w:rPr>
                <w:rFonts w:hint="eastAsia" w:ascii="仿宋_GB2312" w:hAnsi="宋体" w:eastAsia="仿宋_GB2312" w:cs="宋体"/>
                <w:kern w:val="0"/>
                <w:sz w:val="24"/>
                <w:szCs w:val="24"/>
                <w:lang w:val="en"/>
              </w:rPr>
              <w:t>分）</w:t>
            </w:r>
          </w:p>
        </w:tc>
        <w:tc>
          <w:tcPr>
            <w:tcW w:w="5528" w:type="dxa"/>
            <w:vAlign w:val="center"/>
          </w:tcPr>
          <w:p>
            <w:pPr>
              <w:pStyle w:val="4"/>
              <w:spacing w:line="360" w:lineRule="exact"/>
              <w:ind w:left="1" w:firstLine="0" w:firstLineChars="0"/>
              <w:jc w:val="left"/>
              <w:rPr>
                <w:rFonts w:cs="宋体"/>
                <w:kern w:val="0"/>
                <w:sz w:val="24"/>
                <w:lang w:val="en"/>
              </w:rPr>
            </w:pPr>
            <w:r>
              <w:rPr>
                <w:rFonts w:hint="eastAsia" w:cs="宋体"/>
                <w:kern w:val="0"/>
                <w:sz w:val="24"/>
                <w:lang w:val="en"/>
              </w:rPr>
              <w:t xml:space="preserve">根据投标人的实施方案进行评审。从实施计划、组织架构等内容进行综合评审： </w:t>
            </w:r>
          </w:p>
          <w:p>
            <w:pPr>
              <w:pStyle w:val="4"/>
              <w:spacing w:line="360" w:lineRule="exact"/>
              <w:ind w:left="1" w:firstLine="0" w:firstLineChars="0"/>
              <w:jc w:val="left"/>
              <w:rPr>
                <w:rFonts w:cs="宋体"/>
                <w:kern w:val="0"/>
                <w:sz w:val="24"/>
                <w:lang w:val="en"/>
              </w:rPr>
            </w:pPr>
            <w:r>
              <w:rPr>
                <w:rFonts w:hint="eastAsia" w:cs="宋体"/>
                <w:b/>
                <w:kern w:val="0"/>
                <w:sz w:val="24"/>
                <w:lang w:val="en"/>
              </w:rPr>
              <w:t>优</w:t>
            </w:r>
            <w:r>
              <w:rPr>
                <w:rFonts w:hint="eastAsia" w:cs="宋体"/>
                <w:kern w:val="0"/>
                <w:sz w:val="24"/>
                <w:lang w:val="en"/>
              </w:rPr>
              <w:t>：实施计划科学，组织架构明确，有结合项目特点及自身的实力，措施到位，可操作性强，完全满足招标需求，实施过程中保障措施全面的，得15分；</w:t>
            </w:r>
          </w:p>
          <w:p>
            <w:pPr>
              <w:pStyle w:val="4"/>
              <w:spacing w:line="360" w:lineRule="exact"/>
              <w:ind w:left="1" w:firstLine="0" w:firstLineChars="0"/>
              <w:jc w:val="left"/>
              <w:rPr>
                <w:rFonts w:cs="宋体"/>
                <w:kern w:val="0"/>
                <w:sz w:val="24"/>
                <w:lang w:val="en"/>
              </w:rPr>
            </w:pPr>
            <w:r>
              <w:rPr>
                <w:rFonts w:hint="eastAsia" w:cs="宋体"/>
                <w:b/>
                <w:kern w:val="0"/>
                <w:sz w:val="24"/>
                <w:lang w:val="en"/>
              </w:rPr>
              <w:t>较好</w:t>
            </w:r>
            <w:r>
              <w:rPr>
                <w:rFonts w:hint="eastAsia" w:cs="宋体"/>
                <w:kern w:val="0"/>
                <w:sz w:val="24"/>
                <w:lang w:val="en"/>
              </w:rPr>
              <w:t>：实施计划较科学，组织架构较明确，有结合项目特点及自身的实力，措施较到位，可操作性较强，能够满足招标需求，实施过程中保障措施较全面的，得10分；</w:t>
            </w:r>
          </w:p>
          <w:p>
            <w:pPr>
              <w:pStyle w:val="4"/>
              <w:spacing w:line="360" w:lineRule="exact"/>
              <w:ind w:left="1" w:firstLine="0" w:firstLineChars="0"/>
              <w:jc w:val="left"/>
              <w:rPr>
                <w:rFonts w:cs="宋体"/>
                <w:kern w:val="0"/>
                <w:sz w:val="24"/>
                <w:lang w:val="en"/>
              </w:rPr>
            </w:pPr>
            <w:r>
              <w:rPr>
                <w:rFonts w:hint="eastAsia" w:cs="宋体"/>
                <w:b/>
                <w:kern w:val="0"/>
                <w:sz w:val="24"/>
                <w:lang w:val="en"/>
              </w:rPr>
              <w:t>一般</w:t>
            </w:r>
            <w:r>
              <w:rPr>
                <w:rFonts w:hint="eastAsia" w:cs="宋体"/>
                <w:kern w:val="0"/>
                <w:sz w:val="24"/>
                <w:lang w:val="en"/>
              </w:rPr>
              <w:t>：实施计划一般，组织架构基本明确，基本有结合项目特点及自身的实力，措施基本到位，可操作性一般，基本满足招标需求，实施过程中保障措施一般的，得5分；</w:t>
            </w:r>
          </w:p>
          <w:p>
            <w:pPr>
              <w:pStyle w:val="4"/>
              <w:spacing w:line="360" w:lineRule="exact"/>
              <w:ind w:left="1" w:firstLine="0" w:firstLineChars="0"/>
              <w:jc w:val="left"/>
              <w:rPr>
                <w:rFonts w:cs="宋体"/>
                <w:kern w:val="0"/>
                <w:sz w:val="24"/>
                <w:lang w:val="en"/>
              </w:rPr>
            </w:pPr>
            <w:r>
              <w:rPr>
                <w:rFonts w:hint="eastAsia" w:cs="宋体"/>
                <w:b/>
                <w:kern w:val="0"/>
                <w:sz w:val="24"/>
                <w:lang w:val="en"/>
              </w:rPr>
              <w:t>差</w:t>
            </w:r>
            <w:r>
              <w:rPr>
                <w:rFonts w:hint="eastAsia" w:cs="宋体"/>
                <w:kern w:val="0"/>
                <w:sz w:val="24"/>
                <w:lang w:val="en"/>
              </w:rPr>
              <w:t>：实施计划不科学，组织架构不明确，没有结合项目特点及自身的实力，措施不到位，不具有可操作性，不能满足招标需求，没有实施过程保障措施的，得1分；</w:t>
            </w:r>
          </w:p>
          <w:p>
            <w:pPr>
              <w:pStyle w:val="4"/>
              <w:spacing w:line="360" w:lineRule="exact"/>
              <w:ind w:left="1" w:firstLine="0" w:firstLineChars="0"/>
              <w:jc w:val="left"/>
              <w:rPr>
                <w:rFonts w:cs="宋体"/>
                <w:color w:val="FF0000"/>
                <w:kern w:val="0"/>
                <w:sz w:val="24"/>
                <w:lang w:val="en"/>
              </w:rPr>
            </w:pPr>
            <w:r>
              <w:rPr>
                <w:rFonts w:hint="eastAsia" w:cs="宋体"/>
                <w:kern w:val="0"/>
                <w:sz w:val="24"/>
                <w:lang w:val="en"/>
              </w:rPr>
              <w:t>未提供不得分。</w:t>
            </w:r>
          </w:p>
        </w:tc>
        <w:tc>
          <w:tcPr>
            <w:tcW w:w="888" w:type="dxa"/>
            <w:vAlign w:val="center"/>
          </w:tcPr>
          <w:p>
            <w:pPr>
              <w:pStyle w:val="4"/>
              <w:spacing w:line="360" w:lineRule="exact"/>
              <w:ind w:left="1"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3</w:t>
            </w:r>
          </w:p>
        </w:tc>
        <w:tc>
          <w:tcPr>
            <w:tcW w:w="1356" w:type="dxa"/>
            <w:vMerge w:val="continue"/>
            <w:vAlign w:val="center"/>
          </w:tcPr>
          <w:p>
            <w:pPr>
              <w:pStyle w:val="4"/>
              <w:spacing w:line="360" w:lineRule="exact"/>
              <w:ind w:left="1" w:firstLine="494"/>
              <w:rPr>
                <w:rFonts w:cs="宋体"/>
                <w:kern w:val="0"/>
                <w:sz w:val="24"/>
                <w:lang w:val="en"/>
              </w:rPr>
            </w:pPr>
          </w:p>
        </w:tc>
        <w:tc>
          <w:tcPr>
            <w:tcW w:w="5528" w:type="dxa"/>
            <w:vAlign w:val="center"/>
          </w:tcPr>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质量保证措施、安全保障措施是否完善、可行、有针对性，进度安排是否合理。</w:t>
            </w:r>
          </w:p>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（1）质量保证措施、安全保障措施完善、可行、有针对性，进度安排合理，能预期按时按质按量完成本项目，得</w:t>
            </w:r>
            <w:r>
              <w:rPr>
                <w:rFonts w:hint="eastAsia" w:ascii="仿宋_GB2312" w:hAnsi="宋体" w:eastAsia="仿宋_GB2312" w:cs="宋体"/>
                <w:kern w:val="0"/>
                <w:sz w:val="24"/>
                <w:szCs w:val="24"/>
              </w:rPr>
              <w:t>15</w:t>
            </w:r>
            <w:r>
              <w:rPr>
                <w:rFonts w:hint="eastAsia" w:ascii="仿宋_GB2312" w:hAnsi="宋体" w:eastAsia="仿宋_GB2312" w:cs="宋体"/>
                <w:kern w:val="0"/>
                <w:sz w:val="24"/>
                <w:szCs w:val="24"/>
                <w:lang w:val="en"/>
              </w:rPr>
              <w:t>分；</w:t>
            </w:r>
          </w:p>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（2）质量保证措施、安全保障措施较为完善、可行，进度安排较为合理，基本能按质按量完成本项目，得</w:t>
            </w:r>
            <w:r>
              <w:rPr>
                <w:rFonts w:hint="eastAsia" w:ascii="仿宋_GB2312" w:hAnsi="宋体" w:eastAsia="仿宋_GB2312" w:cs="宋体"/>
                <w:kern w:val="0"/>
                <w:sz w:val="24"/>
                <w:szCs w:val="24"/>
              </w:rPr>
              <w:t>10</w:t>
            </w:r>
            <w:r>
              <w:rPr>
                <w:rFonts w:hint="eastAsia" w:ascii="仿宋_GB2312" w:hAnsi="宋体" w:eastAsia="仿宋_GB2312" w:cs="宋体"/>
                <w:kern w:val="0"/>
                <w:sz w:val="24"/>
                <w:szCs w:val="24"/>
                <w:lang w:val="en"/>
              </w:rPr>
              <w:t>分；</w:t>
            </w:r>
          </w:p>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（3）质量保证措施、安全保障措施一般，进度安排一般，得</w:t>
            </w:r>
            <w:r>
              <w:rPr>
                <w:rFonts w:hint="eastAsia" w:ascii="仿宋_GB2312" w:hAnsi="宋体" w:eastAsia="仿宋_GB2312" w:cs="宋体"/>
                <w:kern w:val="0"/>
                <w:sz w:val="24"/>
                <w:szCs w:val="24"/>
              </w:rPr>
              <w:t>5</w:t>
            </w:r>
            <w:r>
              <w:rPr>
                <w:rFonts w:hint="eastAsia" w:ascii="仿宋_GB2312" w:hAnsi="宋体" w:eastAsia="仿宋_GB2312" w:cs="宋体"/>
                <w:kern w:val="0"/>
                <w:sz w:val="24"/>
                <w:szCs w:val="24"/>
                <w:lang w:val="en"/>
              </w:rPr>
              <w:t>分。</w:t>
            </w:r>
          </w:p>
          <w:p>
            <w:pPr>
              <w:pStyle w:val="4"/>
              <w:spacing w:line="360" w:lineRule="exact"/>
              <w:ind w:left="1" w:firstLine="0" w:firstLineChars="0"/>
              <w:jc w:val="left"/>
              <w:rPr>
                <w:rFonts w:cs="宋体"/>
                <w:color w:val="FF0000"/>
                <w:kern w:val="0"/>
                <w:sz w:val="24"/>
                <w:lang w:val="en"/>
              </w:rPr>
            </w:pPr>
            <w:r>
              <w:rPr>
                <w:rFonts w:hint="eastAsia" w:cs="宋体"/>
                <w:kern w:val="0"/>
                <w:sz w:val="24"/>
                <w:lang w:val="en"/>
              </w:rPr>
              <w:t>（4）没有相关内容，得0分。</w:t>
            </w:r>
          </w:p>
        </w:tc>
        <w:tc>
          <w:tcPr>
            <w:tcW w:w="888" w:type="dxa"/>
            <w:vAlign w:val="center"/>
          </w:tcPr>
          <w:p>
            <w:pPr>
              <w:pStyle w:val="4"/>
              <w:spacing w:line="360" w:lineRule="exact"/>
              <w:ind w:left="1"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4</w:t>
            </w:r>
          </w:p>
        </w:tc>
        <w:tc>
          <w:tcPr>
            <w:tcW w:w="1356" w:type="dxa"/>
            <w:vAlign w:val="center"/>
          </w:tcPr>
          <w:p>
            <w:pPr>
              <w:pStyle w:val="4"/>
              <w:spacing w:line="360" w:lineRule="exact"/>
              <w:ind w:left="1" w:firstLine="0" w:firstLineChars="0"/>
              <w:rPr>
                <w:rFonts w:cs="宋体"/>
                <w:kern w:val="0"/>
                <w:sz w:val="24"/>
                <w:lang w:val="en"/>
              </w:rPr>
            </w:pPr>
            <w:r>
              <w:rPr>
                <w:rFonts w:hint="eastAsia" w:cs="宋体"/>
                <w:kern w:val="0"/>
                <w:sz w:val="24"/>
                <w:lang w:val="en"/>
              </w:rPr>
              <w:t>检测能力</w:t>
            </w:r>
          </w:p>
          <w:p>
            <w:pPr>
              <w:pStyle w:val="4"/>
              <w:spacing w:line="360" w:lineRule="exact"/>
              <w:ind w:left="1" w:firstLine="0" w:firstLineChars="0"/>
              <w:rPr>
                <w:rFonts w:cs="宋体"/>
                <w:kern w:val="0"/>
                <w:sz w:val="24"/>
                <w:lang w:val="en"/>
              </w:rPr>
            </w:pPr>
            <w:r>
              <w:rPr>
                <w:rFonts w:hint="eastAsia" w:cs="宋体"/>
                <w:kern w:val="0"/>
                <w:sz w:val="24"/>
                <w:lang w:val="en"/>
              </w:rPr>
              <w:t>（</w:t>
            </w:r>
            <w:r>
              <w:rPr>
                <w:rFonts w:hint="eastAsia" w:cs="宋体"/>
                <w:kern w:val="0"/>
                <w:sz w:val="24"/>
              </w:rPr>
              <w:t>10</w:t>
            </w:r>
            <w:r>
              <w:rPr>
                <w:rFonts w:hint="eastAsia" w:cs="宋体"/>
                <w:kern w:val="0"/>
                <w:sz w:val="24"/>
                <w:lang w:val="en"/>
              </w:rPr>
              <w:t>分）</w:t>
            </w:r>
          </w:p>
        </w:tc>
        <w:tc>
          <w:tcPr>
            <w:tcW w:w="5528" w:type="dxa"/>
            <w:vAlign w:val="center"/>
          </w:tcPr>
          <w:p>
            <w:pPr>
              <w:jc w:val="left"/>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供应商具有设备使用有效期内检测设备：具有油气回收智能检测仪一套得2.5分，增加一套得5分；具有氢火焰离子化检测仪一套得</w:t>
            </w:r>
            <w:r>
              <w:rPr>
                <w:rFonts w:hint="eastAsia" w:ascii="仿宋_GB2312" w:hAnsi="宋体" w:eastAsia="仿宋_GB2312" w:cs="宋体"/>
                <w:kern w:val="0"/>
                <w:sz w:val="24"/>
                <w:szCs w:val="24"/>
              </w:rPr>
              <w:t>2.5分，增加一套得5</w:t>
            </w:r>
            <w:r>
              <w:rPr>
                <w:rFonts w:hint="eastAsia" w:ascii="仿宋_GB2312" w:hAnsi="宋体" w:eastAsia="仿宋_GB2312" w:cs="宋体"/>
                <w:kern w:val="0"/>
                <w:sz w:val="24"/>
                <w:szCs w:val="24"/>
                <w:lang w:val="en"/>
              </w:rPr>
              <w:t>分，此项最高得</w:t>
            </w:r>
            <w:r>
              <w:rPr>
                <w:rFonts w:hint="eastAsia" w:ascii="仿宋_GB2312" w:hAnsi="宋体" w:eastAsia="仿宋_GB2312" w:cs="宋体"/>
                <w:kern w:val="0"/>
                <w:sz w:val="24"/>
                <w:szCs w:val="24"/>
              </w:rPr>
              <w:t>10</w:t>
            </w:r>
            <w:r>
              <w:rPr>
                <w:rFonts w:hint="eastAsia" w:ascii="仿宋_GB2312" w:hAnsi="宋体" w:eastAsia="仿宋_GB2312" w:cs="宋体"/>
                <w:kern w:val="0"/>
                <w:sz w:val="24"/>
                <w:szCs w:val="24"/>
                <w:lang w:val="en"/>
              </w:rPr>
              <w:t>分。</w:t>
            </w:r>
          </w:p>
          <w:p>
            <w:pPr>
              <w:pStyle w:val="4"/>
              <w:spacing w:line="360" w:lineRule="exact"/>
              <w:ind w:left="1" w:firstLine="0" w:firstLineChars="0"/>
              <w:jc w:val="left"/>
              <w:rPr>
                <w:rFonts w:cs="宋体"/>
                <w:color w:val="FF0000"/>
                <w:kern w:val="0"/>
                <w:sz w:val="24"/>
                <w:lang w:val="en"/>
              </w:rPr>
            </w:pPr>
            <w:r>
              <w:rPr>
                <w:rFonts w:hint="eastAsia" w:cs="宋体"/>
                <w:kern w:val="0"/>
                <w:sz w:val="24"/>
                <w:lang w:val="en"/>
              </w:rPr>
              <w:t>注：须提供设备发票及项目设备在有效期内的检测报告复印件加盖投标人公章，否则不得分。</w:t>
            </w:r>
          </w:p>
        </w:tc>
        <w:tc>
          <w:tcPr>
            <w:tcW w:w="888" w:type="dxa"/>
            <w:vAlign w:val="center"/>
          </w:tcPr>
          <w:p>
            <w:pPr>
              <w:pStyle w:val="4"/>
              <w:spacing w:line="360" w:lineRule="exact"/>
              <w:ind w:left="1"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5</w:t>
            </w:r>
          </w:p>
        </w:tc>
        <w:tc>
          <w:tcPr>
            <w:tcW w:w="1356" w:type="dxa"/>
            <w:vAlign w:val="center"/>
          </w:tcPr>
          <w:p>
            <w:pPr>
              <w:spacing w:line="36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拟投入本项目的技术人员情况</w:t>
            </w:r>
          </w:p>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（25分）</w:t>
            </w:r>
          </w:p>
        </w:tc>
        <w:tc>
          <w:tcPr>
            <w:tcW w:w="5528" w:type="dxa"/>
            <w:vAlign w:val="center"/>
          </w:tcPr>
          <w:p>
            <w:pPr>
              <w:pStyle w:val="4"/>
              <w:spacing w:line="360" w:lineRule="exact"/>
              <w:ind w:left="1" w:firstLine="0" w:firstLineChars="0"/>
              <w:jc w:val="left"/>
              <w:rPr>
                <w:rFonts w:cs="宋体"/>
                <w:kern w:val="0"/>
                <w:sz w:val="24"/>
                <w:lang w:val="en"/>
              </w:rPr>
            </w:pPr>
            <w:r>
              <w:rPr>
                <w:rFonts w:hint="eastAsia" w:cs="宋体"/>
                <w:kern w:val="0"/>
                <w:sz w:val="24"/>
                <w:lang w:val="en"/>
              </w:rPr>
              <w:t>（1）项目负责人为环境、化学类专业技术高级职称得5分，为环境、化学类专业技术中级职称得3分，其他0分。</w:t>
            </w:r>
          </w:p>
          <w:p>
            <w:pPr>
              <w:pStyle w:val="4"/>
              <w:spacing w:line="360" w:lineRule="exact"/>
              <w:ind w:left="1" w:firstLine="0" w:firstLineChars="0"/>
              <w:jc w:val="left"/>
              <w:rPr>
                <w:rFonts w:cs="宋体"/>
                <w:kern w:val="0"/>
                <w:sz w:val="24"/>
                <w:lang w:val="en"/>
              </w:rPr>
            </w:pPr>
            <w:r>
              <w:rPr>
                <w:rFonts w:hint="eastAsia" w:cs="宋体"/>
                <w:kern w:val="0"/>
                <w:sz w:val="24"/>
                <w:lang w:val="en"/>
              </w:rPr>
              <w:t>（2）为本项目投入专业技术人员（不包括项目负责人）中：每一个环境、化学类专业技术中级及以上职称得3分，专业技术初级职称得2分，最高得</w:t>
            </w:r>
            <w:r>
              <w:rPr>
                <w:rFonts w:hint="eastAsia" w:cs="宋体"/>
                <w:kern w:val="0"/>
                <w:sz w:val="24"/>
              </w:rPr>
              <w:t>12</w:t>
            </w:r>
            <w:r>
              <w:rPr>
                <w:rFonts w:hint="eastAsia" w:cs="宋体"/>
                <w:kern w:val="0"/>
                <w:sz w:val="24"/>
                <w:lang w:val="en"/>
              </w:rPr>
              <w:t>分。符合以上条件，同时具有油气回收项目采样及检测资格的上岗合格证或培训证的专职检测人员</w:t>
            </w:r>
            <w:r>
              <w:rPr>
                <w:rFonts w:hint="eastAsia" w:cs="宋体"/>
                <w:kern w:val="0"/>
                <w:sz w:val="24"/>
              </w:rPr>
              <w:t>1</w:t>
            </w:r>
            <w:r>
              <w:rPr>
                <w:rFonts w:hint="eastAsia" w:cs="宋体"/>
                <w:kern w:val="0"/>
                <w:sz w:val="24"/>
                <w:lang w:val="en"/>
              </w:rPr>
              <w:t>人得</w:t>
            </w:r>
            <w:r>
              <w:rPr>
                <w:rFonts w:hint="eastAsia" w:cs="宋体"/>
                <w:kern w:val="0"/>
                <w:sz w:val="24"/>
              </w:rPr>
              <w:t>2</w:t>
            </w:r>
            <w:r>
              <w:rPr>
                <w:rFonts w:hint="eastAsia" w:cs="宋体"/>
                <w:kern w:val="0"/>
                <w:sz w:val="24"/>
                <w:lang w:val="en"/>
              </w:rPr>
              <w:t>分，最高得8分。</w:t>
            </w:r>
          </w:p>
          <w:p>
            <w:pPr>
              <w:pStyle w:val="4"/>
              <w:spacing w:line="360" w:lineRule="exact"/>
              <w:ind w:firstLine="0" w:firstLineChars="0"/>
              <w:jc w:val="left"/>
              <w:rPr>
                <w:rFonts w:cs="宋体"/>
                <w:kern w:val="0"/>
                <w:sz w:val="24"/>
                <w:lang w:val="en"/>
              </w:rPr>
            </w:pPr>
            <w:r>
              <w:rPr>
                <w:rFonts w:hint="eastAsia" w:cs="宋体"/>
                <w:kern w:val="0"/>
                <w:sz w:val="24"/>
                <w:lang w:val="en"/>
              </w:rPr>
              <w:t>注：请在响应文件中写明人员在本项目中承担何种工作,须提供上述人员相应有效期内证书的复印件，项目开标前</w:t>
            </w:r>
            <w:r>
              <w:rPr>
                <w:rFonts w:hint="eastAsia" w:cs="宋体"/>
                <w:kern w:val="0"/>
                <w:sz w:val="24"/>
              </w:rPr>
              <w:t>3个月内任一个月</w:t>
            </w:r>
            <w:r>
              <w:rPr>
                <w:rFonts w:hint="eastAsia" w:cs="宋体"/>
                <w:kern w:val="0"/>
                <w:sz w:val="24"/>
                <w:lang w:val="en"/>
              </w:rPr>
              <w:t>缴纳的社保证明复印件。相关复印件需加盖公章。</w:t>
            </w:r>
          </w:p>
        </w:tc>
        <w:tc>
          <w:tcPr>
            <w:tcW w:w="888" w:type="dxa"/>
            <w:vAlign w:val="center"/>
          </w:tcPr>
          <w:p>
            <w:pPr>
              <w:pStyle w:val="4"/>
              <w:spacing w:line="360" w:lineRule="exact"/>
              <w:ind w:left="1"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724" w:type="dxa"/>
            <w:vAlign w:val="center"/>
          </w:tcPr>
          <w:p>
            <w:pPr>
              <w:pStyle w:val="4"/>
              <w:spacing w:line="360" w:lineRule="exact"/>
              <w:ind w:firstLine="0" w:firstLineChars="0"/>
              <w:jc w:val="center"/>
              <w:rPr>
                <w:rFonts w:cs="宋体"/>
                <w:sz w:val="24"/>
              </w:rPr>
            </w:pPr>
            <w:r>
              <w:rPr>
                <w:rFonts w:hint="eastAsia" w:cs="宋体"/>
                <w:sz w:val="24"/>
              </w:rPr>
              <w:t>6</w:t>
            </w:r>
          </w:p>
        </w:tc>
        <w:tc>
          <w:tcPr>
            <w:tcW w:w="1356" w:type="dxa"/>
            <w:vAlign w:val="center"/>
          </w:tcPr>
          <w:p>
            <w:pPr>
              <w:spacing w:line="36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业绩</w:t>
            </w:r>
          </w:p>
          <w:p>
            <w:pPr>
              <w:spacing w:line="36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(20分)</w:t>
            </w:r>
          </w:p>
          <w:p>
            <w:pPr>
              <w:spacing w:line="360" w:lineRule="exact"/>
              <w:rPr>
                <w:rFonts w:ascii="仿宋_GB2312" w:eastAsia="仿宋_GB2312"/>
                <w:sz w:val="24"/>
                <w:szCs w:val="24"/>
                <w:lang w:val="en"/>
              </w:rPr>
            </w:pPr>
          </w:p>
        </w:tc>
        <w:tc>
          <w:tcPr>
            <w:tcW w:w="5528" w:type="dxa"/>
            <w:vAlign w:val="center"/>
          </w:tcPr>
          <w:p>
            <w:pP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投标人近三年以来独立承接同类项目业绩，每个得</w:t>
            </w:r>
            <w:r>
              <w:rPr>
                <w:rFonts w:hint="eastAsia" w:ascii="仿宋_GB2312" w:hAnsi="宋体" w:eastAsia="仿宋_GB2312" w:cs="宋体"/>
                <w:kern w:val="0"/>
                <w:sz w:val="24"/>
                <w:szCs w:val="24"/>
              </w:rPr>
              <w:t>5</w:t>
            </w:r>
            <w:r>
              <w:rPr>
                <w:rFonts w:hint="eastAsia" w:ascii="仿宋_GB2312" w:hAnsi="宋体" w:eastAsia="仿宋_GB2312" w:cs="宋体"/>
                <w:kern w:val="0"/>
                <w:sz w:val="24"/>
                <w:szCs w:val="24"/>
                <w:lang w:val="en"/>
              </w:rPr>
              <w:t>分，最高得</w:t>
            </w:r>
            <w:r>
              <w:rPr>
                <w:rFonts w:hint="eastAsia" w:ascii="仿宋_GB2312" w:hAnsi="宋体" w:eastAsia="仿宋_GB2312" w:cs="宋体"/>
                <w:kern w:val="0"/>
                <w:sz w:val="24"/>
                <w:szCs w:val="24"/>
              </w:rPr>
              <w:t>20</w:t>
            </w:r>
            <w:r>
              <w:rPr>
                <w:rFonts w:hint="eastAsia" w:ascii="仿宋_GB2312" w:hAnsi="宋体" w:eastAsia="仿宋_GB2312" w:cs="宋体"/>
                <w:kern w:val="0"/>
                <w:sz w:val="24"/>
                <w:szCs w:val="24"/>
                <w:lang w:val="en"/>
              </w:rPr>
              <w:t>分。</w:t>
            </w:r>
          </w:p>
          <w:p>
            <w:pPr>
              <w:pStyle w:val="4"/>
              <w:spacing w:line="360" w:lineRule="exact"/>
              <w:ind w:left="1" w:firstLine="0" w:firstLineChars="0"/>
              <w:jc w:val="left"/>
              <w:rPr>
                <w:rFonts w:cs="宋体"/>
                <w:kern w:val="0"/>
                <w:sz w:val="24"/>
                <w:lang w:val="en"/>
              </w:rPr>
            </w:pPr>
            <w:r>
              <w:rPr>
                <w:rFonts w:hint="eastAsia" w:cs="宋体"/>
                <w:kern w:val="0"/>
                <w:sz w:val="24"/>
                <w:lang w:val="en"/>
              </w:rPr>
              <w:t>注：须提供合同关键页及中标通知书扫描件，业绩不得重复计分，子公司或其他分公司的业绩不计算在内。</w:t>
            </w:r>
          </w:p>
        </w:tc>
        <w:tc>
          <w:tcPr>
            <w:tcW w:w="888" w:type="dxa"/>
            <w:vAlign w:val="center"/>
          </w:tcPr>
          <w:p>
            <w:pPr>
              <w:pStyle w:val="4"/>
              <w:spacing w:line="360" w:lineRule="exact"/>
              <w:ind w:left="1" w:firstLine="0" w:firstLineChars="0"/>
              <w:jc w:val="center"/>
              <w:rPr>
                <w:rFonts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24" w:type="dxa"/>
            <w:vAlign w:val="center"/>
          </w:tcPr>
          <w:p>
            <w:pPr>
              <w:spacing w:line="360" w:lineRule="exact"/>
              <w:jc w:val="center"/>
              <w:rPr>
                <w:rFonts w:ascii="仿宋_GB2312" w:eastAsia="仿宋_GB2312" w:cs="宋体"/>
                <w:sz w:val="24"/>
                <w:szCs w:val="24"/>
              </w:rPr>
            </w:pPr>
            <w:r>
              <w:rPr>
                <w:rFonts w:hint="eastAsia" w:ascii="仿宋_GB2312" w:eastAsia="仿宋_GB2312" w:cs="宋体"/>
                <w:sz w:val="24"/>
                <w:szCs w:val="24"/>
              </w:rPr>
              <w:t>7</w:t>
            </w:r>
          </w:p>
        </w:tc>
        <w:tc>
          <w:tcPr>
            <w:tcW w:w="1356" w:type="dxa"/>
            <w:vAlign w:val="center"/>
          </w:tcPr>
          <w:p>
            <w:pPr>
              <w:spacing w:line="360" w:lineRule="exact"/>
              <w:rPr>
                <w:rFonts w:ascii="仿宋_GB2312" w:hAnsi="宋体" w:eastAsia="仿宋_GB2312" w:cs="宋体"/>
                <w:kern w:val="0"/>
                <w:sz w:val="24"/>
                <w:szCs w:val="24"/>
                <w:lang w:val="en"/>
              </w:rPr>
            </w:pPr>
            <w:r>
              <w:rPr>
                <w:rFonts w:hint="eastAsia" w:cs="宋体"/>
                <w:kern w:val="0"/>
                <w:sz w:val="24"/>
                <w:lang w:val="en"/>
              </w:rPr>
              <w:t>综合得分</w:t>
            </w:r>
          </w:p>
        </w:tc>
        <w:tc>
          <w:tcPr>
            <w:tcW w:w="5528" w:type="dxa"/>
            <w:vAlign w:val="center"/>
          </w:tcPr>
          <w:p>
            <w:pPr>
              <w:rPr>
                <w:rFonts w:ascii="仿宋_GB2312" w:hAnsi="宋体" w:eastAsia="仿宋_GB2312" w:cs="宋体"/>
                <w:kern w:val="0"/>
                <w:sz w:val="24"/>
                <w:szCs w:val="24"/>
                <w:lang w:val="en"/>
              </w:rPr>
            </w:pPr>
            <w:r>
              <w:rPr>
                <w:rFonts w:hint="eastAsia" w:cs="宋体"/>
                <w:kern w:val="0"/>
                <w:sz w:val="24"/>
                <w:lang w:val="en"/>
              </w:rPr>
              <w:t>——</w:t>
            </w:r>
          </w:p>
        </w:tc>
        <w:tc>
          <w:tcPr>
            <w:tcW w:w="888" w:type="dxa"/>
          </w:tcPr>
          <w:p>
            <w:pPr>
              <w:pStyle w:val="4"/>
              <w:spacing w:line="360" w:lineRule="exact"/>
              <w:ind w:left="1" w:firstLine="0" w:firstLineChars="0"/>
              <w:rPr>
                <w:rFonts w:cs="宋体"/>
                <w:sz w:val="24"/>
              </w:rPr>
            </w:pPr>
          </w:p>
        </w:tc>
      </w:tr>
    </w:tbl>
    <w:p/>
    <w:sectPr>
      <w:pgSz w:w="11906" w:h="16838"/>
      <w:pgMar w:top="2211"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D81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缩进2格"/>
    <w:basedOn w:val="1"/>
    <w:next w:val="1"/>
    <w:qFormat/>
    <w:uiPriority w:val="99"/>
    <w:pPr>
      <w:spacing w:line="600" w:lineRule="exact"/>
      <w:ind w:firstLine="639" w:firstLineChars="206"/>
    </w:pPr>
    <w:rPr>
      <w:rFonts w:ascii="仿宋_GB2312" w:hAnsi="宋体" w:eastAsia="仿宋_GB2312" w:cs="Times New Roman"/>
      <w:sz w:val="3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2026-05-12T02:09:22Z</dcterms:created>
  <dc:creator>admin</dc:creator>
  <cp:lastModifiedBy>甄梓健</cp:lastModifiedBy>
  <dcterms:modified xsi:type="dcterms:W3CDTF">2026-05-12T02:09:40Z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