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9D3">
      <w:pPr>
        <w:spacing w:line="560" w:lineRule="exact"/>
        <w:rPr>
          <w:rFonts w:hint="eastAsia" w:ascii="黑体" w:hAnsi="黑体" w:eastAsia="黑体"/>
        </w:rPr>
      </w:pPr>
      <w:r>
        <w:rPr>
          <w:rFonts w:hint="eastAsia" w:ascii="黑体" w:hAnsi="黑体" w:eastAsia="黑体"/>
        </w:rPr>
        <w:t>附件2</w:t>
      </w:r>
    </w:p>
    <w:p w14:paraId="2D5DAAC5">
      <w:pPr>
        <w:spacing w:line="560" w:lineRule="exact"/>
        <w:jc w:val="center"/>
        <w:rPr>
          <w:rFonts w:hint="eastAsia" w:ascii="黑体" w:hAnsi="黑体" w:eastAsia="黑体"/>
          <w:b w:val="0"/>
          <w:bCs w:val="0"/>
        </w:rPr>
      </w:pPr>
      <w:r>
        <w:rPr>
          <w:rFonts w:hint="eastAsia" w:ascii="宋体" w:hAnsi="宋体" w:cs="宋体"/>
          <w:b/>
          <w:bCs/>
          <w:sz w:val="36"/>
          <w:szCs w:val="36"/>
        </w:rPr>
        <w:t>评分标准及细则</w:t>
      </w:r>
    </w:p>
    <w:tbl>
      <w:tblPr>
        <w:tblStyle w:val="2"/>
        <w:tblW w:w="4993"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7"/>
        <w:gridCol w:w="1376"/>
        <w:gridCol w:w="11481"/>
      </w:tblGrid>
      <w:tr w14:paraId="0D891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8" w:type="pct"/>
            <w:noWrap w:val="0"/>
            <w:vAlign w:val="center"/>
          </w:tcPr>
          <w:p w14:paraId="2ECADC5C">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szCs w:val="24"/>
              </w:rPr>
            </w:pPr>
            <w:r>
              <w:rPr>
                <w:rFonts w:ascii="宋体" w:hAnsi="宋体" w:cs="宋体"/>
                <w:sz w:val="24"/>
                <w:szCs w:val="24"/>
              </w:rPr>
              <w:t>评审因素</w:t>
            </w:r>
          </w:p>
        </w:tc>
        <w:tc>
          <w:tcPr>
            <w:tcW w:w="4541" w:type="pct"/>
            <w:gridSpan w:val="2"/>
            <w:noWrap w:val="0"/>
            <w:vAlign w:val="center"/>
          </w:tcPr>
          <w:p w14:paraId="1209944D">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szCs w:val="24"/>
              </w:rPr>
            </w:pPr>
            <w:r>
              <w:rPr>
                <w:rFonts w:ascii="宋体" w:hAnsi="宋体" w:cs="宋体"/>
                <w:sz w:val="24"/>
                <w:szCs w:val="24"/>
              </w:rPr>
              <w:t>评</w:t>
            </w:r>
            <w:r>
              <w:rPr>
                <w:rFonts w:ascii="宋体" w:hAnsi="宋体" w:cs="宋体"/>
                <w:sz w:val="24"/>
                <w:szCs w:val="24"/>
                <w:lang w:eastAsia="zh-CN"/>
              </w:rPr>
              <w:t>分</w:t>
            </w:r>
            <w:r>
              <w:rPr>
                <w:rFonts w:ascii="宋体" w:hAnsi="宋体" w:cs="宋体"/>
                <w:sz w:val="24"/>
                <w:szCs w:val="24"/>
              </w:rPr>
              <w:t>标准</w:t>
            </w:r>
          </w:p>
        </w:tc>
      </w:tr>
      <w:tr w14:paraId="0B9FB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8" w:type="pct"/>
            <w:noWrap w:val="0"/>
            <w:vAlign w:val="center"/>
          </w:tcPr>
          <w:p w14:paraId="2E07898C">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szCs w:val="24"/>
              </w:rPr>
            </w:pPr>
            <w:r>
              <w:rPr>
                <w:rFonts w:ascii="宋体" w:hAnsi="宋体" w:cs="宋体"/>
                <w:sz w:val="24"/>
                <w:szCs w:val="24"/>
              </w:rPr>
              <w:t>分值构成</w:t>
            </w:r>
          </w:p>
        </w:tc>
        <w:tc>
          <w:tcPr>
            <w:tcW w:w="4541" w:type="pct"/>
            <w:gridSpan w:val="2"/>
            <w:noWrap w:val="0"/>
            <w:vAlign w:val="center"/>
          </w:tcPr>
          <w:p w14:paraId="1C9D798F">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 w:val="24"/>
                <w:szCs w:val="24"/>
              </w:rPr>
            </w:pPr>
            <w:r>
              <w:rPr>
                <w:rFonts w:ascii="宋体" w:hAnsi="宋体" w:cs="宋体"/>
                <w:sz w:val="24"/>
                <w:szCs w:val="24"/>
              </w:rPr>
              <w:t>技术部分</w:t>
            </w:r>
            <w:r>
              <w:rPr>
                <w:rFonts w:hint="eastAsia" w:ascii="宋体" w:hAnsi="宋体" w:cs="宋体"/>
                <w:sz w:val="24"/>
                <w:szCs w:val="24"/>
                <w:lang w:val="en-US" w:eastAsia="zh-CN"/>
              </w:rPr>
              <w:t>50</w:t>
            </w:r>
            <w:r>
              <w:rPr>
                <w:rFonts w:ascii="宋体" w:hAnsi="宋体" w:cs="宋体"/>
                <w:sz w:val="24"/>
                <w:szCs w:val="24"/>
              </w:rPr>
              <w:t>.0分</w:t>
            </w:r>
            <w:r>
              <w:rPr>
                <w:rFonts w:hint="eastAsia" w:ascii="宋体" w:hAnsi="宋体" w:cs="宋体"/>
                <w:sz w:val="24"/>
                <w:szCs w:val="24"/>
                <w:lang w:eastAsia="zh-CN"/>
              </w:rPr>
              <w:t>，</w:t>
            </w:r>
            <w:r>
              <w:rPr>
                <w:rFonts w:ascii="宋体" w:hAnsi="宋体" w:cs="宋体"/>
                <w:sz w:val="24"/>
                <w:szCs w:val="24"/>
              </w:rPr>
              <w:t>商务部分</w:t>
            </w:r>
            <w:r>
              <w:rPr>
                <w:rFonts w:ascii="宋体" w:hAnsi="宋体" w:cs="宋体"/>
                <w:sz w:val="24"/>
                <w:szCs w:val="24"/>
                <w:lang w:eastAsia="zh-CN"/>
              </w:rPr>
              <w:t>3</w:t>
            </w:r>
            <w:r>
              <w:rPr>
                <w:rFonts w:hint="eastAsia" w:ascii="宋体" w:hAnsi="宋体" w:cs="宋体"/>
                <w:sz w:val="24"/>
                <w:szCs w:val="24"/>
                <w:lang w:val="en-US" w:eastAsia="zh-CN"/>
              </w:rPr>
              <w:t>5</w:t>
            </w:r>
            <w:r>
              <w:rPr>
                <w:rFonts w:ascii="宋体" w:hAnsi="宋体" w:cs="宋体"/>
                <w:sz w:val="24"/>
                <w:szCs w:val="24"/>
              </w:rPr>
              <w:t>.0分</w:t>
            </w:r>
            <w:r>
              <w:rPr>
                <w:rFonts w:hint="eastAsia" w:ascii="宋体" w:hAnsi="宋体" w:cs="宋体"/>
                <w:sz w:val="24"/>
                <w:szCs w:val="24"/>
                <w:lang w:eastAsia="zh-CN"/>
              </w:rPr>
              <w:t>，</w:t>
            </w:r>
            <w:r>
              <w:rPr>
                <w:rFonts w:ascii="宋体" w:hAnsi="宋体" w:cs="宋体"/>
                <w:sz w:val="24"/>
                <w:szCs w:val="24"/>
              </w:rPr>
              <w:t>报价得分</w:t>
            </w:r>
            <w:r>
              <w:rPr>
                <w:rFonts w:ascii="宋体" w:hAnsi="宋体" w:cs="宋体"/>
                <w:sz w:val="24"/>
                <w:szCs w:val="24"/>
                <w:lang w:eastAsia="zh-CN"/>
              </w:rPr>
              <w:t>1</w:t>
            </w:r>
            <w:r>
              <w:rPr>
                <w:rFonts w:hint="eastAsia" w:ascii="宋体" w:hAnsi="宋体" w:cs="宋体"/>
                <w:sz w:val="24"/>
                <w:szCs w:val="24"/>
                <w:lang w:val="en-US" w:eastAsia="zh-CN"/>
              </w:rPr>
              <w:t>5</w:t>
            </w:r>
            <w:r>
              <w:rPr>
                <w:rFonts w:ascii="宋体" w:hAnsi="宋体" w:cs="宋体"/>
                <w:sz w:val="24"/>
                <w:szCs w:val="24"/>
              </w:rPr>
              <w:t>.0分</w:t>
            </w:r>
          </w:p>
        </w:tc>
      </w:tr>
      <w:tr w14:paraId="7829E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8" w:type="pct"/>
            <w:vMerge w:val="restart"/>
            <w:noWrap w:val="0"/>
            <w:vAlign w:val="center"/>
          </w:tcPr>
          <w:p w14:paraId="6DC0276F">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szCs w:val="24"/>
                <w:lang w:eastAsia="zh-CN"/>
              </w:rPr>
            </w:pPr>
            <w:r>
              <w:rPr>
                <w:rFonts w:ascii="宋体" w:hAnsi="宋体" w:cs="宋体"/>
                <w:sz w:val="24"/>
                <w:szCs w:val="24"/>
              </w:rPr>
              <w:t>技术部分</w:t>
            </w:r>
            <w:r>
              <w:rPr>
                <w:rFonts w:ascii="宋体" w:hAnsi="宋体" w:cs="宋体"/>
                <w:sz w:val="24"/>
                <w:szCs w:val="24"/>
                <w:lang w:eastAsia="zh-CN"/>
              </w:rPr>
              <w:t>（</w:t>
            </w:r>
            <w:r>
              <w:rPr>
                <w:rFonts w:hint="eastAsia" w:ascii="宋体" w:hAnsi="宋体" w:cs="宋体"/>
                <w:sz w:val="24"/>
                <w:szCs w:val="24"/>
                <w:lang w:val="en-US" w:eastAsia="zh-CN"/>
              </w:rPr>
              <w:t>50</w:t>
            </w:r>
            <w:r>
              <w:rPr>
                <w:rFonts w:ascii="宋体" w:hAnsi="宋体" w:cs="宋体"/>
                <w:sz w:val="24"/>
                <w:szCs w:val="24"/>
                <w:lang w:eastAsia="zh-CN"/>
              </w:rPr>
              <w:t>分）</w:t>
            </w:r>
          </w:p>
        </w:tc>
        <w:tc>
          <w:tcPr>
            <w:tcW w:w="486" w:type="pct"/>
            <w:noWrap w:val="0"/>
            <w:vAlign w:val="center"/>
          </w:tcPr>
          <w:p w14:paraId="7550A7F4">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宋体"/>
                <w:kern w:val="2"/>
                <w:sz w:val="22"/>
                <w:szCs w:val="24"/>
                <w:lang w:val="en-US" w:eastAsia="zh-CN" w:bidi="ar-SA"/>
              </w:rPr>
            </w:pPr>
            <w:r>
              <w:rPr>
                <w:rFonts w:hint="eastAsia" w:ascii="Times New Roman" w:hAnsi="Times New Roman" w:eastAsia="仿宋_GB2312" w:cs="宋体"/>
                <w:kern w:val="2"/>
                <w:sz w:val="22"/>
                <w:szCs w:val="24"/>
                <w:lang w:val="en-US" w:eastAsia="zh-CN" w:bidi="ar-SA"/>
              </w:rPr>
              <w:t xml:space="preserve">运维服务方案 </w:t>
            </w:r>
          </w:p>
          <w:p w14:paraId="77165672">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宋体"/>
                <w:kern w:val="2"/>
                <w:sz w:val="22"/>
                <w:szCs w:val="24"/>
                <w:lang w:val="en-US" w:eastAsia="zh-CN" w:bidi="ar-SA"/>
              </w:rPr>
            </w:pPr>
            <w:r>
              <w:rPr>
                <w:rFonts w:hint="eastAsia" w:ascii="Times New Roman" w:hAnsi="Times New Roman" w:eastAsia="仿宋_GB2312" w:cs="宋体"/>
                <w:kern w:val="2"/>
                <w:sz w:val="22"/>
                <w:szCs w:val="24"/>
                <w:lang w:val="en-US" w:eastAsia="zh-CN" w:bidi="ar-SA"/>
              </w:rPr>
              <w:t>（20分）</w:t>
            </w:r>
          </w:p>
        </w:tc>
        <w:tc>
          <w:tcPr>
            <w:tcW w:w="4055" w:type="pct"/>
            <w:noWrap w:val="0"/>
            <w:vAlign w:val="center"/>
          </w:tcPr>
          <w:p w14:paraId="70CFEF8E">
            <w:pPr>
              <w:spacing w:line="360" w:lineRule="exact"/>
              <w:rPr>
                <w:rFonts w:hint="eastAsia" w:ascii="Times New Roman" w:hAnsi="Times New Roman" w:cs="宋体"/>
                <w:sz w:val="22"/>
                <w:lang w:eastAsia="zh-CN"/>
              </w:rPr>
            </w:pPr>
            <w:r>
              <w:rPr>
                <w:rFonts w:hint="eastAsia" w:ascii="Times New Roman" w:hAnsi="Times New Roman" w:cs="宋体"/>
                <w:sz w:val="22"/>
                <w:lang w:eastAsia="zh-CN"/>
              </w:rPr>
              <w:t xml:space="preserve">根据响应人对本项目提供的运维服务方案进行评审: </w:t>
            </w:r>
          </w:p>
          <w:p w14:paraId="61646730">
            <w:pPr>
              <w:spacing w:line="360" w:lineRule="exact"/>
              <w:rPr>
                <w:rFonts w:hint="eastAsia" w:ascii="Times New Roman" w:hAnsi="Times New Roman" w:cs="宋体"/>
                <w:sz w:val="22"/>
                <w:lang w:eastAsia="zh-CN"/>
              </w:rPr>
            </w:pPr>
            <w:r>
              <w:rPr>
                <w:rFonts w:hint="eastAsia" w:ascii="Times New Roman" w:hAnsi="Times New Roman" w:cs="宋体"/>
                <w:sz w:val="22"/>
                <w:lang w:eastAsia="zh-CN"/>
              </w:rPr>
              <w:t>1、方案内容细致、详细具体、条理清晰、切实可行，系统及数据保障完整规范，整体内容完全满足项目采购需求的，得</w:t>
            </w:r>
            <w:r>
              <w:rPr>
                <w:rFonts w:hint="eastAsia" w:ascii="Times New Roman" w:hAnsi="Times New Roman" w:cs="宋体"/>
                <w:sz w:val="22"/>
                <w:lang w:val="en-US" w:eastAsia="zh-CN"/>
              </w:rPr>
              <w:t>20</w:t>
            </w:r>
            <w:r>
              <w:rPr>
                <w:rFonts w:hint="eastAsia" w:ascii="Times New Roman" w:hAnsi="Times New Roman" w:cs="宋体"/>
                <w:sz w:val="22"/>
                <w:lang w:eastAsia="zh-CN"/>
              </w:rPr>
              <w:t xml:space="preserve">分； </w:t>
            </w:r>
          </w:p>
          <w:p w14:paraId="35D824F8">
            <w:pPr>
              <w:spacing w:line="360" w:lineRule="exact"/>
              <w:rPr>
                <w:rFonts w:hint="eastAsia" w:ascii="Times New Roman" w:hAnsi="Times New Roman" w:cs="宋体"/>
                <w:sz w:val="22"/>
                <w:lang w:eastAsia="zh-CN"/>
              </w:rPr>
            </w:pPr>
            <w:r>
              <w:rPr>
                <w:rFonts w:hint="eastAsia" w:ascii="Times New Roman" w:hAnsi="Times New Roman" w:cs="宋体"/>
                <w:sz w:val="22"/>
                <w:lang w:eastAsia="zh-CN"/>
              </w:rPr>
              <w:t>2、方案基本完整，内容列明，系统及数据正常，内容</w:t>
            </w:r>
            <w:r>
              <w:rPr>
                <w:rFonts w:hint="default" w:ascii="Times New Roman" w:hAnsi="Times New Roman" w:cs="宋体"/>
                <w:sz w:val="22"/>
                <w:lang w:eastAsia="zh-CN"/>
              </w:rPr>
              <w:t>部分满足</w:t>
            </w:r>
            <w:r>
              <w:rPr>
                <w:rFonts w:hint="eastAsia" w:ascii="Times New Roman" w:hAnsi="Times New Roman" w:cs="宋体"/>
                <w:sz w:val="22"/>
                <w:lang w:eastAsia="zh-CN"/>
              </w:rPr>
              <w:t>项目采购需求，得</w:t>
            </w:r>
            <w:r>
              <w:rPr>
                <w:rFonts w:hint="eastAsia" w:ascii="Times New Roman" w:hAnsi="Times New Roman" w:cs="宋体"/>
                <w:sz w:val="22"/>
                <w:lang w:val="en-US" w:eastAsia="zh-CN"/>
              </w:rPr>
              <w:t>15</w:t>
            </w:r>
            <w:r>
              <w:rPr>
                <w:rFonts w:hint="eastAsia" w:ascii="Times New Roman" w:hAnsi="Times New Roman" w:cs="宋体"/>
                <w:sz w:val="22"/>
                <w:lang w:eastAsia="zh-CN"/>
              </w:rPr>
              <w:t xml:space="preserve">分； </w:t>
            </w:r>
          </w:p>
          <w:p w14:paraId="1B39B5E1">
            <w:pPr>
              <w:spacing w:line="360" w:lineRule="exact"/>
              <w:rPr>
                <w:rFonts w:hint="eastAsia" w:ascii="Times New Roman" w:hAnsi="Times New Roman" w:cs="宋体"/>
                <w:sz w:val="22"/>
                <w:lang w:eastAsia="zh-CN"/>
              </w:rPr>
            </w:pPr>
            <w:r>
              <w:rPr>
                <w:rFonts w:hint="eastAsia" w:ascii="Times New Roman" w:hAnsi="Times New Roman" w:cs="宋体"/>
                <w:sz w:val="22"/>
                <w:lang w:eastAsia="zh-CN"/>
              </w:rPr>
              <w:t>3、方案内容简单，缺乏具体实施细节，系统及数据保障措施不全，不满足项目采购需求的，得</w:t>
            </w:r>
            <w:r>
              <w:rPr>
                <w:rFonts w:hint="eastAsia" w:ascii="Times New Roman" w:hAnsi="Times New Roman" w:cs="宋体"/>
                <w:sz w:val="22"/>
                <w:lang w:val="en-US" w:eastAsia="zh-CN"/>
              </w:rPr>
              <w:t>10</w:t>
            </w:r>
            <w:r>
              <w:rPr>
                <w:rFonts w:hint="eastAsia" w:ascii="Times New Roman" w:hAnsi="Times New Roman" w:cs="宋体"/>
                <w:sz w:val="22"/>
                <w:lang w:eastAsia="zh-CN"/>
              </w:rPr>
              <w:t>分；</w:t>
            </w:r>
          </w:p>
          <w:p w14:paraId="5420459C">
            <w:pPr>
              <w:spacing w:line="360" w:lineRule="exact"/>
              <w:rPr>
                <w:rFonts w:hint="eastAsia" w:ascii="Times New Roman" w:hAnsi="Times New Roman" w:cs="宋体"/>
                <w:sz w:val="22"/>
                <w:lang w:eastAsia="zh-CN"/>
              </w:rPr>
            </w:pPr>
            <w:r>
              <w:rPr>
                <w:rFonts w:hint="eastAsia" w:ascii="Times New Roman" w:hAnsi="Times New Roman" w:cs="宋体"/>
                <w:sz w:val="22"/>
                <w:lang w:eastAsia="zh-CN"/>
              </w:rPr>
              <w:t>4、未提供运维服务方案，不得分。</w:t>
            </w:r>
          </w:p>
        </w:tc>
      </w:tr>
      <w:tr w14:paraId="5ECC5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8" w:type="pct"/>
            <w:vMerge w:val="continue"/>
            <w:noWrap w:val="0"/>
            <w:vAlign w:val="center"/>
          </w:tcPr>
          <w:p w14:paraId="7B2EBBC0">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szCs w:val="24"/>
              </w:rPr>
            </w:pPr>
          </w:p>
        </w:tc>
        <w:tc>
          <w:tcPr>
            <w:tcW w:w="486" w:type="pct"/>
            <w:noWrap w:val="0"/>
            <w:vAlign w:val="center"/>
          </w:tcPr>
          <w:p w14:paraId="2B2D6689">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宋体"/>
                <w:kern w:val="2"/>
                <w:sz w:val="22"/>
                <w:szCs w:val="24"/>
                <w:lang w:val="en-US" w:eastAsia="zh-CN" w:bidi="ar-SA"/>
              </w:rPr>
            </w:pPr>
            <w:r>
              <w:rPr>
                <w:rFonts w:hint="eastAsia" w:ascii="Times New Roman" w:hAnsi="Times New Roman" w:eastAsia="仿宋_GB2312" w:cs="宋体"/>
                <w:kern w:val="2"/>
                <w:sz w:val="22"/>
                <w:szCs w:val="24"/>
                <w:lang w:val="en-US" w:eastAsia="zh-CN" w:bidi="ar-SA"/>
              </w:rPr>
              <w:t>运维质量保障方案（15分）</w:t>
            </w:r>
          </w:p>
        </w:tc>
        <w:tc>
          <w:tcPr>
            <w:tcW w:w="4055" w:type="pct"/>
            <w:noWrap w:val="0"/>
            <w:vAlign w:val="top"/>
          </w:tcPr>
          <w:p w14:paraId="6622DF45">
            <w:pPr>
              <w:spacing w:line="360" w:lineRule="exact"/>
              <w:rPr>
                <w:rFonts w:hint="eastAsia" w:ascii="Times New Roman" w:hAnsi="Times New Roman" w:cs="宋体"/>
                <w:sz w:val="22"/>
                <w:lang w:eastAsia="zh-CN"/>
              </w:rPr>
            </w:pPr>
            <w:r>
              <w:rPr>
                <w:rFonts w:hint="eastAsia" w:ascii="Times New Roman" w:hAnsi="Times New Roman" w:cs="宋体"/>
                <w:sz w:val="22"/>
                <w:lang w:eastAsia="zh-CN"/>
              </w:rPr>
              <w:t>根据响应人结合本项目磋商文件的相关要求，提供的运维质量保障方案（包括但不限于①项目服务质量控制措施；②项目进度保证措施；③项目监管措施及运作流程等指标的响应内容）进行评审：</w:t>
            </w:r>
          </w:p>
          <w:p w14:paraId="53B12663">
            <w:pPr>
              <w:spacing w:line="360" w:lineRule="exact"/>
              <w:rPr>
                <w:rFonts w:hint="eastAsia" w:ascii="Times New Roman" w:hAnsi="Times New Roman" w:cs="宋体"/>
                <w:sz w:val="22"/>
                <w:lang w:eastAsia="zh-CN"/>
              </w:rPr>
            </w:pPr>
            <w:r>
              <w:rPr>
                <w:rFonts w:hint="eastAsia" w:ascii="Times New Roman" w:hAnsi="Times New Roman" w:cs="宋体"/>
                <w:sz w:val="22"/>
                <w:lang w:eastAsia="zh-CN"/>
              </w:rPr>
              <w:t xml:space="preserve">1.运维质量保障方案全面、合理、得当，质量保证措施详细完整能针对本项目提供科学合理的质量保证方法；进度控制措施，措施合理、有明确具体的计划安排、可行性强，完全满足或优于磋商文件要求的，得15分； </w:t>
            </w:r>
          </w:p>
          <w:p w14:paraId="18126293">
            <w:pPr>
              <w:spacing w:line="360" w:lineRule="exact"/>
              <w:rPr>
                <w:rFonts w:hint="eastAsia" w:ascii="Times New Roman" w:hAnsi="Times New Roman" w:cs="宋体"/>
                <w:sz w:val="22"/>
                <w:lang w:eastAsia="zh-CN"/>
              </w:rPr>
            </w:pPr>
            <w:r>
              <w:rPr>
                <w:rFonts w:hint="eastAsia" w:ascii="Times New Roman" w:hAnsi="Times New Roman" w:cs="宋体"/>
                <w:sz w:val="22"/>
                <w:lang w:eastAsia="zh-CN"/>
              </w:rPr>
              <w:t xml:space="preserve">2.运维质量保障方案基本全面、措施基本合理、方案有一定可行性，部分满足磋商文件的，得9分； </w:t>
            </w:r>
          </w:p>
          <w:p w14:paraId="7148BEE6">
            <w:pPr>
              <w:spacing w:line="360" w:lineRule="exact"/>
              <w:rPr>
                <w:rFonts w:hint="eastAsia" w:ascii="Times New Roman" w:hAnsi="Times New Roman" w:cs="宋体"/>
                <w:sz w:val="22"/>
                <w:lang w:eastAsia="zh-CN"/>
              </w:rPr>
            </w:pPr>
            <w:r>
              <w:rPr>
                <w:rFonts w:hint="eastAsia" w:ascii="Times New Roman" w:hAnsi="Times New Roman" w:cs="宋体"/>
                <w:sz w:val="22"/>
                <w:lang w:eastAsia="zh-CN"/>
              </w:rPr>
              <w:t>3.运维质量保障方案不全面，措施不详细、内容简单、不明确，不满足磋商文件要求的，得3分；</w:t>
            </w:r>
          </w:p>
          <w:p w14:paraId="6168A53A">
            <w:pPr>
              <w:spacing w:line="360" w:lineRule="exact"/>
              <w:rPr>
                <w:rFonts w:hint="eastAsia" w:ascii="Times New Roman" w:hAnsi="Times New Roman" w:cs="宋体"/>
                <w:sz w:val="22"/>
                <w:lang w:eastAsia="zh-CN"/>
              </w:rPr>
            </w:pPr>
            <w:r>
              <w:rPr>
                <w:rFonts w:hint="eastAsia" w:ascii="Times New Roman" w:hAnsi="Times New Roman" w:cs="宋体"/>
                <w:sz w:val="22"/>
                <w:lang w:eastAsia="zh-CN"/>
              </w:rPr>
              <w:t>4.未提供运维质量保障方案，不得分。</w:t>
            </w:r>
          </w:p>
        </w:tc>
      </w:tr>
      <w:tr w14:paraId="0F2F7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8" w:type="pct"/>
            <w:vMerge w:val="continue"/>
            <w:noWrap w:val="0"/>
            <w:vAlign w:val="center"/>
          </w:tcPr>
          <w:p w14:paraId="36951323">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szCs w:val="24"/>
              </w:rPr>
            </w:pPr>
          </w:p>
        </w:tc>
        <w:tc>
          <w:tcPr>
            <w:tcW w:w="486" w:type="pct"/>
            <w:noWrap w:val="0"/>
            <w:vAlign w:val="center"/>
          </w:tcPr>
          <w:p w14:paraId="19B2199E">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宋体"/>
                <w:kern w:val="2"/>
                <w:sz w:val="22"/>
                <w:szCs w:val="24"/>
                <w:lang w:val="en-US" w:eastAsia="zh-CN" w:bidi="ar-SA"/>
              </w:rPr>
            </w:pPr>
            <w:r>
              <w:rPr>
                <w:rFonts w:hint="eastAsia" w:ascii="Times New Roman" w:hAnsi="Times New Roman" w:eastAsia="仿宋_GB2312" w:cs="宋体"/>
                <w:kern w:val="2"/>
                <w:sz w:val="22"/>
                <w:szCs w:val="24"/>
                <w:lang w:val="en-US" w:eastAsia="zh-CN" w:bidi="ar-SA"/>
              </w:rPr>
              <w:t xml:space="preserve">突发事件应急处置方案 </w:t>
            </w:r>
          </w:p>
          <w:p w14:paraId="2ACA8406">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宋体"/>
                <w:kern w:val="2"/>
                <w:sz w:val="22"/>
                <w:szCs w:val="24"/>
                <w:lang w:val="en-US" w:eastAsia="zh-CN" w:bidi="ar-SA"/>
              </w:rPr>
            </w:pPr>
            <w:r>
              <w:rPr>
                <w:rFonts w:hint="eastAsia" w:ascii="Times New Roman" w:hAnsi="Times New Roman" w:eastAsia="仿宋_GB2312" w:cs="宋体"/>
                <w:kern w:val="2"/>
                <w:sz w:val="22"/>
                <w:szCs w:val="24"/>
                <w:lang w:val="en-US" w:eastAsia="zh-CN" w:bidi="ar-SA"/>
              </w:rPr>
              <w:t>（15分)</w:t>
            </w:r>
          </w:p>
        </w:tc>
        <w:tc>
          <w:tcPr>
            <w:tcW w:w="4055" w:type="pct"/>
            <w:noWrap w:val="0"/>
            <w:vAlign w:val="center"/>
          </w:tcPr>
          <w:p w14:paraId="24B8C757">
            <w:pPr>
              <w:spacing w:line="360" w:lineRule="exact"/>
              <w:rPr>
                <w:rFonts w:hint="eastAsia" w:ascii="Times New Roman" w:hAnsi="Times New Roman" w:cs="宋体"/>
                <w:sz w:val="22"/>
                <w:lang w:eastAsia="zh-CN"/>
              </w:rPr>
            </w:pPr>
            <w:r>
              <w:rPr>
                <w:rFonts w:hint="eastAsia" w:ascii="Times New Roman" w:hAnsi="Times New Roman" w:cs="宋体"/>
                <w:sz w:val="22"/>
                <w:lang w:eastAsia="zh-CN"/>
              </w:rPr>
              <w:t xml:space="preserve">根据响应人针对本项目提供的突发事件应急处置方案进行评审： </w:t>
            </w:r>
          </w:p>
          <w:p w14:paraId="335C5209">
            <w:pPr>
              <w:spacing w:line="360" w:lineRule="exact"/>
              <w:rPr>
                <w:rFonts w:hint="eastAsia" w:ascii="Times New Roman" w:hAnsi="Times New Roman" w:cs="宋体"/>
                <w:sz w:val="22"/>
                <w:lang w:eastAsia="zh-CN"/>
              </w:rPr>
            </w:pPr>
            <w:r>
              <w:rPr>
                <w:rFonts w:hint="eastAsia" w:ascii="Times New Roman" w:hAnsi="Times New Roman" w:cs="宋体"/>
                <w:sz w:val="22"/>
                <w:lang w:eastAsia="zh-CN"/>
              </w:rPr>
              <w:t xml:space="preserve">1、预案细致全面，预警灵敏，应对措施具体高效，评估流程完善，整体内容完全满足项目采购需求的，得15分； </w:t>
            </w:r>
          </w:p>
          <w:p w14:paraId="737D900B">
            <w:pPr>
              <w:spacing w:line="360" w:lineRule="exact"/>
              <w:rPr>
                <w:rFonts w:hint="eastAsia" w:ascii="Times New Roman" w:hAnsi="Times New Roman" w:cs="宋体"/>
                <w:sz w:val="22"/>
                <w:lang w:eastAsia="zh-CN"/>
              </w:rPr>
            </w:pPr>
            <w:r>
              <w:rPr>
                <w:rFonts w:hint="eastAsia" w:ascii="Times New Roman" w:hAnsi="Times New Roman" w:cs="宋体"/>
                <w:sz w:val="22"/>
                <w:lang w:eastAsia="zh-CN"/>
              </w:rPr>
              <w:t xml:space="preserve">2、预案基本完整，预警有效，措施具体有针对性，评估流程基本完备，部分内容满足项目采购需求的，得9分； </w:t>
            </w:r>
          </w:p>
          <w:p w14:paraId="3F98D2D7">
            <w:pPr>
              <w:spacing w:line="360" w:lineRule="exact"/>
              <w:rPr>
                <w:rFonts w:hint="eastAsia" w:ascii="Times New Roman" w:hAnsi="Times New Roman" w:cs="宋体"/>
                <w:sz w:val="22"/>
                <w:lang w:eastAsia="zh-CN"/>
              </w:rPr>
            </w:pPr>
            <w:r>
              <w:rPr>
                <w:rFonts w:hint="eastAsia" w:ascii="Times New Roman" w:hAnsi="Times New Roman" w:cs="宋体"/>
                <w:sz w:val="22"/>
                <w:lang w:eastAsia="zh-CN"/>
              </w:rPr>
              <w:t>3、预案简单，预警反应慢，措施概括简陋，评估措施基础不全，不满足项目采购需求的，得1分；</w:t>
            </w:r>
          </w:p>
          <w:p w14:paraId="0FA51A96">
            <w:pPr>
              <w:spacing w:line="360" w:lineRule="exact"/>
              <w:rPr>
                <w:rFonts w:ascii="宋体" w:hAnsi="宋体" w:cs="宋体"/>
                <w:bCs/>
                <w:sz w:val="24"/>
                <w:szCs w:val="24"/>
                <w:highlight w:val="none"/>
                <w:lang w:eastAsia="zh-CN"/>
              </w:rPr>
            </w:pPr>
            <w:r>
              <w:rPr>
                <w:rFonts w:hint="eastAsia" w:ascii="Times New Roman" w:hAnsi="Times New Roman" w:cs="宋体"/>
                <w:sz w:val="22"/>
                <w:lang w:eastAsia="zh-CN"/>
              </w:rPr>
              <w:t>4、未提供突发事件应急处置方案，不得分。</w:t>
            </w:r>
          </w:p>
        </w:tc>
      </w:tr>
      <w:tr w14:paraId="243A2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8" w:type="pct"/>
            <w:vMerge w:val="restart"/>
            <w:noWrap w:val="0"/>
            <w:vAlign w:val="center"/>
          </w:tcPr>
          <w:p w14:paraId="3ADB3B23">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szCs w:val="24"/>
                <w:lang w:eastAsia="zh-CN"/>
              </w:rPr>
            </w:pPr>
            <w:r>
              <w:rPr>
                <w:rFonts w:ascii="宋体" w:hAnsi="宋体" w:cs="宋体"/>
                <w:sz w:val="24"/>
                <w:szCs w:val="24"/>
              </w:rPr>
              <w:t>商务部分（</w:t>
            </w:r>
            <w:r>
              <w:rPr>
                <w:rFonts w:hint="eastAsia" w:ascii="宋体" w:hAnsi="宋体" w:cs="宋体"/>
                <w:sz w:val="24"/>
                <w:szCs w:val="24"/>
                <w:lang w:val="en-US" w:eastAsia="zh-CN"/>
              </w:rPr>
              <w:t>35</w:t>
            </w:r>
            <w:r>
              <w:rPr>
                <w:rFonts w:ascii="宋体" w:hAnsi="宋体" w:cs="宋体"/>
                <w:sz w:val="24"/>
                <w:szCs w:val="24"/>
                <w:lang w:eastAsia="zh-CN"/>
              </w:rPr>
              <w:t>分）</w:t>
            </w:r>
          </w:p>
        </w:tc>
        <w:tc>
          <w:tcPr>
            <w:tcW w:w="486" w:type="pct"/>
            <w:noWrap w:val="0"/>
            <w:vAlign w:val="center"/>
          </w:tcPr>
          <w:p w14:paraId="4D6D9249">
            <w:pPr>
              <w:spacing w:line="360" w:lineRule="exact"/>
              <w:jc w:val="center"/>
              <w:rPr>
                <w:rFonts w:hint="eastAsia" w:ascii="Times New Roman" w:hAnsi="Times New Roman" w:eastAsia="仿宋_GB2312" w:cs="宋体"/>
                <w:kern w:val="2"/>
                <w:sz w:val="22"/>
                <w:szCs w:val="24"/>
                <w:lang w:val="en-US" w:eastAsia="zh-CN" w:bidi="ar-SA"/>
              </w:rPr>
            </w:pPr>
            <w:r>
              <w:rPr>
                <w:rFonts w:hint="eastAsia" w:ascii="Times New Roman" w:hAnsi="Times New Roman" w:eastAsia="仿宋_GB2312" w:cs="宋体"/>
                <w:kern w:val="2"/>
                <w:sz w:val="22"/>
                <w:szCs w:val="24"/>
                <w:lang w:val="en-US" w:eastAsia="zh-CN" w:bidi="ar-SA"/>
              </w:rPr>
              <w:t>投标人服务能力</w:t>
            </w:r>
          </w:p>
          <w:p w14:paraId="3B2CACC4">
            <w:pPr>
              <w:spacing w:line="360" w:lineRule="exact"/>
              <w:jc w:val="center"/>
              <w:rPr>
                <w:rFonts w:hint="eastAsia" w:ascii="Times New Roman" w:hAnsi="Times New Roman" w:eastAsia="仿宋_GB2312" w:cs="宋体"/>
                <w:kern w:val="2"/>
                <w:sz w:val="22"/>
                <w:szCs w:val="24"/>
                <w:lang w:val="en-US" w:eastAsia="zh-CN" w:bidi="ar-SA"/>
              </w:rPr>
            </w:pPr>
            <w:r>
              <w:rPr>
                <w:rFonts w:hint="eastAsia" w:ascii="Times New Roman" w:hAnsi="Times New Roman" w:eastAsia="仿宋_GB2312" w:cs="宋体"/>
                <w:kern w:val="2"/>
                <w:sz w:val="22"/>
                <w:szCs w:val="24"/>
                <w:lang w:val="en-US" w:eastAsia="zh-CN" w:bidi="ar-SA"/>
              </w:rPr>
              <w:t>（5分)</w:t>
            </w:r>
          </w:p>
        </w:tc>
        <w:tc>
          <w:tcPr>
            <w:tcW w:w="4055" w:type="pct"/>
            <w:noWrap w:val="0"/>
            <w:vAlign w:val="center"/>
          </w:tcPr>
          <w:p w14:paraId="5AB71A7D">
            <w:pPr>
              <w:spacing w:line="360" w:lineRule="exact"/>
              <w:rPr>
                <w:rFonts w:hint="eastAsia" w:ascii="Times New Roman" w:hAnsi="Times New Roman" w:cs="宋体"/>
                <w:sz w:val="22"/>
              </w:rPr>
            </w:pPr>
            <w:r>
              <w:rPr>
                <w:rFonts w:hint="eastAsia" w:ascii="Times New Roman" w:hAnsi="Times New Roman" w:cs="宋体"/>
                <w:sz w:val="22"/>
              </w:rPr>
              <w:t>具备ISO9001质量管理体系认证证书的得5分。</w:t>
            </w:r>
          </w:p>
          <w:p w14:paraId="71D7FBC3">
            <w:pPr>
              <w:spacing w:line="360" w:lineRule="exact"/>
              <w:rPr>
                <w:rFonts w:ascii="宋体" w:hAnsi="宋体" w:cs="宋体"/>
                <w:bCs/>
                <w:sz w:val="24"/>
                <w:szCs w:val="24"/>
                <w:lang w:eastAsia="zh-CN"/>
              </w:rPr>
            </w:pPr>
            <w:r>
              <w:rPr>
                <w:rFonts w:hint="eastAsia" w:ascii="Times New Roman" w:hAnsi="Times New Roman" w:cs="宋体"/>
                <w:sz w:val="22"/>
              </w:rPr>
              <w:t>注：须提供以上证书证明材料复印件，并加盖公章，不提供的不得分。</w:t>
            </w:r>
          </w:p>
        </w:tc>
      </w:tr>
      <w:tr w14:paraId="47221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8" w:type="pct"/>
            <w:vMerge w:val="continue"/>
            <w:noWrap w:val="0"/>
            <w:vAlign w:val="center"/>
          </w:tcPr>
          <w:p w14:paraId="3465C8E0">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szCs w:val="24"/>
              </w:rPr>
            </w:pPr>
          </w:p>
        </w:tc>
        <w:tc>
          <w:tcPr>
            <w:tcW w:w="486" w:type="pct"/>
            <w:noWrap w:val="0"/>
            <w:vAlign w:val="center"/>
          </w:tcPr>
          <w:p w14:paraId="335BD0D9">
            <w:pPr>
              <w:spacing w:line="360" w:lineRule="exact"/>
              <w:jc w:val="center"/>
              <w:rPr>
                <w:rFonts w:hint="eastAsia" w:ascii="Times New Roman" w:hAnsi="Times New Roman" w:eastAsia="仿宋_GB2312" w:cs="宋体"/>
                <w:kern w:val="2"/>
                <w:sz w:val="22"/>
                <w:szCs w:val="24"/>
                <w:lang w:val="en-US" w:eastAsia="zh-CN" w:bidi="ar-SA"/>
              </w:rPr>
            </w:pPr>
            <w:r>
              <w:rPr>
                <w:rFonts w:hint="eastAsia" w:ascii="Times New Roman" w:hAnsi="Times New Roman" w:eastAsia="仿宋_GB2312" w:cs="宋体"/>
                <w:kern w:val="2"/>
                <w:sz w:val="22"/>
                <w:szCs w:val="24"/>
                <w:lang w:val="en-US" w:eastAsia="zh-CN" w:bidi="ar-SA"/>
              </w:rPr>
              <w:t>投入本项目工作人员情况</w:t>
            </w:r>
          </w:p>
          <w:p w14:paraId="16AF5C2F">
            <w:pPr>
              <w:spacing w:line="360" w:lineRule="exact"/>
              <w:jc w:val="center"/>
              <w:rPr>
                <w:rFonts w:hint="eastAsia" w:ascii="Times New Roman" w:hAnsi="Times New Roman" w:eastAsia="仿宋_GB2312" w:cs="宋体"/>
                <w:kern w:val="2"/>
                <w:sz w:val="22"/>
                <w:szCs w:val="24"/>
                <w:lang w:val="en-US" w:eastAsia="zh-CN" w:bidi="ar-SA"/>
              </w:rPr>
            </w:pPr>
            <w:r>
              <w:rPr>
                <w:rFonts w:hint="eastAsia" w:ascii="Times New Roman" w:hAnsi="Times New Roman" w:eastAsia="仿宋_GB2312" w:cs="宋体"/>
                <w:kern w:val="2"/>
                <w:sz w:val="22"/>
                <w:szCs w:val="24"/>
                <w:lang w:val="en-US" w:eastAsia="zh-CN" w:bidi="ar-SA"/>
              </w:rPr>
              <w:t>（10分)</w:t>
            </w:r>
          </w:p>
        </w:tc>
        <w:tc>
          <w:tcPr>
            <w:tcW w:w="4055" w:type="pct"/>
            <w:noWrap w:val="0"/>
            <w:vAlign w:val="center"/>
          </w:tcPr>
          <w:p w14:paraId="15B78CC5">
            <w:pPr>
              <w:spacing w:line="360" w:lineRule="exact"/>
              <w:rPr>
                <w:rFonts w:ascii="Times New Roman" w:hAnsi="Times New Roman" w:cs="宋体"/>
                <w:sz w:val="22"/>
              </w:rPr>
            </w:pPr>
            <w:r>
              <w:rPr>
                <w:rFonts w:hint="eastAsia" w:ascii="Times New Roman" w:hAnsi="Times New Roman" w:cs="宋体"/>
                <w:sz w:val="22"/>
              </w:rPr>
              <w:t>（1）投标人为本项目配备负责人1人：具有计算机技术与软件专业技术高级资格证书或相关专业高级职称的得</w:t>
            </w:r>
            <w:r>
              <w:rPr>
                <w:rFonts w:hint="eastAsia" w:ascii="Times New Roman" w:hAnsi="Times New Roman" w:cs="宋体"/>
                <w:sz w:val="22"/>
                <w:lang w:val="en-US" w:eastAsia="zh-CN"/>
              </w:rPr>
              <w:t>5</w:t>
            </w:r>
            <w:r>
              <w:rPr>
                <w:rFonts w:hint="eastAsia" w:ascii="Times New Roman" w:hAnsi="Times New Roman" w:cs="宋体"/>
                <w:sz w:val="22"/>
              </w:rPr>
              <w:t>分；具有计算机技术与软件专业技术中级资格证书或相关专业中级职称的得</w:t>
            </w:r>
            <w:r>
              <w:rPr>
                <w:rFonts w:hint="eastAsia" w:ascii="Times New Roman" w:hAnsi="Times New Roman" w:cs="宋体"/>
                <w:sz w:val="22"/>
                <w:lang w:val="en-US" w:eastAsia="zh-CN"/>
              </w:rPr>
              <w:t>3</w:t>
            </w:r>
            <w:r>
              <w:rPr>
                <w:rFonts w:hint="eastAsia" w:ascii="Times New Roman" w:hAnsi="Times New Roman" w:cs="宋体"/>
                <w:sz w:val="22"/>
              </w:rPr>
              <w:t>分。本项最高得分</w:t>
            </w:r>
            <w:r>
              <w:rPr>
                <w:rFonts w:hint="eastAsia" w:ascii="Times New Roman" w:hAnsi="Times New Roman" w:cs="宋体"/>
                <w:sz w:val="22"/>
                <w:lang w:val="en-US" w:eastAsia="zh-CN"/>
              </w:rPr>
              <w:t>5</w:t>
            </w:r>
            <w:r>
              <w:rPr>
                <w:rFonts w:hint="eastAsia" w:ascii="Times New Roman" w:hAnsi="Times New Roman" w:cs="宋体"/>
                <w:sz w:val="22"/>
              </w:rPr>
              <w:t>分。</w:t>
            </w:r>
          </w:p>
          <w:p w14:paraId="5E953905">
            <w:pPr>
              <w:spacing w:line="360" w:lineRule="exact"/>
              <w:rPr>
                <w:rFonts w:ascii="Times New Roman" w:hAnsi="Times New Roman" w:cs="宋体"/>
                <w:sz w:val="22"/>
              </w:rPr>
            </w:pPr>
            <w:r>
              <w:rPr>
                <w:rFonts w:hint="eastAsia" w:ascii="Times New Roman" w:hAnsi="Times New Roman" w:cs="宋体"/>
                <w:sz w:val="22"/>
              </w:rPr>
              <w:t>（2）投标人为本项目配备技术人员（不含负责人，最多计算</w:t>
            </w:r>
            <w:r>
              <w:rPr>
                <w:rFonts w:hint="eastAsia" w:ascii="Times New Roman" w:hAnsi="Times New Roman" w:cs="宋体"/>
                <w:sz w:val="22"/>
                <w:lang w:val="en-US" w:eastAsia="zh-CN"/>
              </w:rPr>
              <w:t>1</w:t>
            </w:r>
            <w:r>
              <w:rPr>
                <w:rFonts w:hint="eastAsia" w:ascii="Times New Roman" w:hAnsi="Times New Roman" w:cs="宋体"/>
                <w:sz w:val="22"/>
              </w:rPr>
              <w:t>人）：具有计算机技术与软件专业技术</w:t>
            </w:r>
            <w:r>
              <w:rPr>
                <w:rFonts w:hint="eastAsia" w:ascii="Times New Roman" w:hAnsi="Times New Roman" w:cs="宋体"/>
                <w:sz w:val="22"/>
                <w:lang w:eastAsia="zh-CN"/>
              </w:rPr>
              <w:t>初</w:t>
            </w:r>
            <w:r>
              <w:rPr>
                <w:rFonts w:hint="eastAsia" w:ascii="Times New Roman" w:hAnsi="Times New Roman" w:cs="宋体"/>
                <w:sz w:val="22"/>
              </w:rPr>
              <w:t>级及以上资格证书或相关专业中级及以上职称的得</w:t>
            </w:r>
            <w:r>
              <w:rPr>
                <w:rFonts w:hint="eastAsia" w:ascii="Times New Roman" w:hAnsi="Times New Roman" w:cs="宋体"/>
                <w:sz w:val="22"/>
                <w:lang w:val="en-US" w:eastAsia="zh-CN"/>
              </w:rPr>
              <w:t>5</w:t>
            </w:r>
            <w:r>
              <w:rPr>
                <w:rFonts w:hint="eastAsia" w:ascii="Times New Roman" w:hAnsi="Times New Roman" w:cs="宋体"/>
                <w:sz w:val="22"/>
              </w:rPr>
              <w:t>分同一人提供多个资格证书的，只对其中一个最高职称进行打分，且同一人不重复计分。本项最高得</w:t>
            </w:r>
            <w:r>
              <w:rPr>
                <w:rFonts w:hint="eastAsia" w:ascii="Times New Roman" w:hAnsi="Times New Roman" w:cs="宋体"/>
                <w:sz w:val="22"/>
                <w:lang w:val="en-US" w:eastAsia="zh-CN"/>
              </w:rPr>
              <w:t>5</w:t>
            </w:r>
            <w:r>
              <w:rPr>
                <w:rFonts w:hint="eastAsia" w:ascii="Times New Roman" w:hAnsi="Times New Roman" w:cs="宋体"/>
                <w:sz w:val="22"/>
              </w:rPr>
              <w:t>分。</w:t>
            </w:r>
          </w:p>
          <w:p w14:paraId="69ABBA83">
            <w:pPr>
              <w:spacing w:line="360" w:lineRule="exact"/>
              <w:rPr>
                <w:rFonts w:ascii="宋体" w:hAnsi="宋体" w:cs="宋体"/>
                <w:bCs/>
                <w:sz w:val="24"/>
                <w:szCs w:val="24"/>
                <w:highlight w:val="none"/>
                <w:lang w:val="zh-CN" w:eastAsia="zh-CN"/>
              </w:rPr>
            </w:pPr>
            <w:r>
              <w:rPr>
                <w:rFonts w:hint="eastAsia" w:ascii="Times New Roman" w:hAnsi="Times New Roman" w:cs="宋体"/>
                <w:sz w:val="22"/>
              </w:rPr>
              <w:t>注：须提供上述（1）（2）人员相应部门颁发的技术职称、资格证书复印件，最近3个月任意1个月在该供应商单位缴纳的社保证明复印件并加盖公章。</w:t>
            </w:r>
          </w:p>
        </w:tc>
      </w:tr>
      <w:tr w14:paraId="6D9EA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8" w:type="pct"/>
            <w:vMerge w:val="continue"/>
            <w:noWrap w:val="0"/>
            <w:vAlign w:val="center"/>
          </w:tcPr>
          <w:p w14:paraId="3E0D97D9">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szCs w:val="24"/>
              </w:rPr>
            </w:pPr>
          </w:p>
        </w:tc>
        <w:tc>
          <w:tcPr>
            <w:tcW w:w="486" w:type="pct"/>
            <w:noWrap w:val="0"/>
            <w:vAlign w:val="center"/>
          </w:tcPr>
          <w:p w14:paraId="7F10D3DE">
            <w:pPr>
              <w:spacing w:line="360" w:lineRule="exact"/>
              <w:jc w:val="center"/>
              <w:rPr>
                <w:rFonts w:hint="eastAsia" w:ascii="Times New Roman" w:hAnsi="Times New Roman" w:eastAsia="仿宋_GB2312" w:cs="宋体"/>
                <w:kern w:val="2"/>
                <w:sz w:val="22"/>
                <w:szCs w:val="24"/>
                <w:lang w:val="en-US" w:eastAsia="zh-CN" w:bidi="ar-SA"/>
              </w:rPr>
            </w:pPr>
            <w:r>
              <w:rPr>
                <w:rFonts w:hint="eastAsia" w:ascii="Times New Roman" w:hAnsi="Times New Roman" w:eastAsia="仿宋_GB2312" w:cs="宋体"/>
                <w:kern w:val="2"/>
                <w:sz w:val="22"/>
                <w:szCs w:val="24"/>
                <w:lang w:val="en-US" w:eastAsia="zh-CN" w:bidi="ar-SA"/>
              </w:rPr>
              <w:t>业绩情况（20分）</w:t>
            </w:r>
          </w:p>
        </w:tc>
        <w:tc>
          <w:tcPr>
            <w:tcW w:w="4055" w:type="pct"/>
            <w:noWrap w:val="0"/>
            <w:vAlign w:val="center"/>
          </w:tcPr>
          <w:p w14:paraId="18B7FE59">
            <w:pPr>
              <w:spacing w:line="360" w:lineRule="exact"/>
              <w:rPr>
                <w:rFonts w:hint="eastAsia" w:ascii="Times New Roman" w:hAnsi="Times New Roman" w:cs="宋体"/>
                <w:sz w:val="22"/>
              </w:rPr>
            </w:pPr>
            <w:r>
              <w:rPr>
                <w:rFonts w:hint="eastAsia" w:ascii="Times New Roman" w:hAnsi="Times New Roman" w:cs="宋体"/>
                <w:sz w:val="22"/>
              </w:rPr>
              <w:t>供应商2021年1月1日至今（以合同签订时间为准）的软件项目运维经验，每提供一个合同得 5分，最高得</w:t>
            </w:r>
            <w:r>
              <w:rPr>
                <w:rFonts w:hint="eastAsia" w:ascii="Times New Roman" w:hAnsi="Times New Roman" w:cs="宋体"/>
                <w:sz w:val="22"/>
                <w:lang w:val="en-US" w:eastAsia="zh-CN"/>
              </w:rPr>
              <w:t>20</w:t>
            </w:r>
            <w:r>
              <w:rPr>
                <w:rFonts w:hint="eastAsia" w:ascii="Times New Roman" w:hAnsi="Times New Roman" w:cs="宋体"/>
                <w:sz w:val="22"/>
              </w:rPr>
              <w:t>分。</w:t>
            </w:r>
          </w:p>
          <w:p w14:paraId="5A8DC733">
            <w:pPr>
              <w:spacing w:line="360" w:lineRule="exact"/>
              <w:rPr>
                <w:rFonts w:hint="eastAsia" w:ascii="Times New Roman" w:hAnsi="Times New Roman" w:cs="宋体"/>
                <w:sz w:val="22"/>
                <w:lang w:val="zh-CN" w:eastAsia="zh-CN"/>
              </w:rPr>
            </w:pPr>
            <w:r>
              <w:rPr>
                <w:rFonts w:hint="eastAsia" w:ascii="Times New Roman" w:hAnsi="Times New Roman" w:cs="宋体"/>
                <w:sz w:val="22"/>
              </w:rPr>
              <w:t>注：需提供合同关键页复印件。</w:t>
            </w:r>
          </w:p>
        </w:tc>
      </w:tr>
      <w:tr w14:paraId="63229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8" w:type="pct"/>
            <w:noWrap w:val="0"/>
            <w:vAlign w:val="center"/>
          </w:tcPr>
          <w:p w14:paraId="0B08AF24">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szCs w:val="24"/>
              </w:rPr>
            </w:pPr>
            <w:r>
              <w:rPr>
                <w:rFonts w:ascii="宋体" w:hAnsi="宋体" w:cs="宋体"/>
                <w:sz w:val="24"/>
                <w:szCs w:val="24"/>
              </w:rPr>
              <w:t>投标报价</w:t>
            </w:r>
          </w:p>
        </w:tc>
        <w:tc>
          <w:tcPr>
            <w:tcW w:w="486" w:type="pct"/>
            <w:noWrap w:val="0"/>
            <w:vAlign w:val="center"/>
          </w:tcPr>
          <w:p w14:paraId="748CF2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宋体"/>
                <w:kern w:val="2"/>
                <w:sz w:val="22"/>
                <w:szCs w:val="24"/>
                <w:lang w:val="en-US" w:eastAsia="zh-CN" w:bidi="ar-SA"/>
              </w:rPr>
            </w:pPr>
            <w:r>
              <w:rPr>
                <w:rFonts w:hint="eastAsia" w:ascii="Times New Roman" w:hAnsi="Times New Roman" w:eastAsia="仿宋_GB2312" w:cs="宋体"/>
                <w:kern w:val="2"/>
                <w:sz w:val="22"/>
                <w:szCs w:val="24"/>
                <w:lang w:val="en-US" w:eastAsia="zh-CN" w:bidi="ar-SA"/>
              </w:rPr>
              <w:t>得分</w:t>
            </w:r>
          </w:p>
          <w:p w14:paraId="55B153E9">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宋体"/>
                <w:kern w:val="2"/>
                <w:sz w:val="22"/>
                <w:szCs w:val="24"/>
                <w:lang w:val="en-US" w:eastAsia="zh-CN" w:bidi="ar-SA"/>
              </w:rPr>
            </w:pPr>
            <w:r>
              <w:rPr>
                <w:rFonts w:hint="eastAsia" w:ascii="Times New Roman" w:hAnsi="Times New Roman" w:eastAsia="仿宋_GB2312" w:cs="宋体"/>
                <w:kern w:val="2"/>
                <w:sz w:val="22"/>
                <w:szCs w:val="24"/>
                <w:lang w:val="en-US" w:eastAsia="zh-CN" w:bidi="ar-SA"/>
              </w:rPr>
              <w:t>（15分）</w:t>
            </w:r>
          </w:p>
        </w:tc>
        <w:tc>
          <w:tcPr>
            <w:tcW w:w="4055" w:type="pct"/>
            <w:noWrap w:val="0"/>
            <w:vAlign w:val="top"/>
          </w:tcPr>
          <w:p w14:paraId="1F59F10B">
            <w:pPr>
              <w:spacing w:line="360" w:lineRule="exact"/>
              <w:rPr>
                <w:rFonts w:hint="eastAsia" w:ascii="Times New Roman" w:hAnsi="Times New Roman" w:cs="宋体"/>
                <w:sz w:val="22"/>
              </w:rPr>
            </w:pPr>
            <w:r>
              <w:rPr>
                <w:rFonts w:hint="eastAsia" w:ascii="Times New Roman" w:hAnsi="Times New Roman" w:cs="宋体"/>
                <w:sz w:val="22"/>
              </w:rPr>
              <w:t>磋商报价得分＝（评审基准价/响应报价）价格分值【注：满足磋商文件要求且最后响应价格最低的响应报价为评审基准价。】最低报价不是成交的唯一依据。因落实政府采购政策进行价格调整的，以调整后的价格计算评审基准价和响应报价。</w:t>
            </w:r>
          </w:p>
        </w:tc>
      </w:tr>
    </w:tbl>
    <w:p w14:paraId="4D6A23D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44A09"/>
    <w:rsid w:val="0CD44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2026-05-25T09:28:00Z</dcterms:created>
  <dc:creator>李耀明</dc:creator>
  <cp:lastModifiedBy>李耀明</cp:lastModifiedBy>
  <dcterms:modified xsi:type="dcterms:W3CDTF">2026-05-25T09:28:56Z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DD84D4AA5E604333A380E12E83A2FDC1_11</vt:lpwstr>
  </property>
  <property fmtid="{D5CDD505-2E9C-101B-9397-08002B2CF9AE}" pid="4" name="KSOTemplateDocerSaveRecord">
    <vt:lpwstr>eyJoZGlkIjoiMDM3NGU3YmU1ODYyYjdmN2E3ZWRhMmM0MjY3M2IwZTIiLCJ1c2VySWQiOiIzNDIwMDI0OTEifQ==</vt:lpwstr>
  </property>
</Properties>
</file>