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方正小标宋简体" w:hAnsi="方正小标宋简体" w:eastAsia="方正小标宋简体" w:cs="方正小标宋简体"/>
          <w:sz w:val="44"/>
          <w:szCs w:val="44"/>
          <w:highlight w:val="none"/>
          <w:lang w:eastAsia="zh-CN"/>
        </w:rPr>
        <w:t>江门市家用不锈钢水槽产品质量比对研究服务</w:t>
      </w: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w:t>
      </w:r>
      <w:r>
        <w:rPr>
          <w:rFonts w:hint="eastAsia" w:ascii="仿宋" w:hAnsi="仿宋" w:eastAsia="仿宋" w:cs="仿宋"/>
          <w:color w:val="000000"/>
          <w:sz w:val="28"/>
          <w:szCs w:val="28"/>
          <w:highlight w:val="none"/>
          <w:u w:val="single"/>
          <w:lang w:eastAsia="zh-CN"/>
        </w:rPr>
        <w:t>蓬江区</w:t>
      </w:r>
      <w:r>
        <w:rPr>
          <w:rFonts w:hint="eastAsia" w:ascii="仿宋" w:hAnsi="仿宋" w:eastAsia="仿宋" w:cs="仿宋"/>
          <w:color w:val="000000"/>
          <w:sz w:val="28"/>
          <w:szCs w:val="28"/>
          <w:highlight w:val="none"/>
          <w:u w:val="single"/>
        </w:rPr>
        <w:t>东华二路7号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bookmarkStart w:id="0" w:name="_GoBack"/>
      <w:bookmarkEnd w:id="0"/>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widowControl/>
        <w:spacing w:line="480" w:lineRule="exact"/>
        <w:ind w:firstLine="618" w:firstLineChars="221"/>
        <w:rPr>
          <w:rFonts w:ascii="仿宋" w:hAnsi="仿宋" w:eastAsia="仿宋" w:cs="仿宋"/>
          <w:b/>
          <w:bCs/>
          <w:sz w:val="28"/>
          <w:szCs w:val="28"/>
          <w:highlight w:val="none"/>
        </w:rPr>
      </w:pPr>
      <w:r>
        <w:rPr>
          <w:rFonts w:hint="eastAsia" w:ascii="仿宋" w:hAnsi="仿宋" w:eastAsia="仿宋" w:cs="仿宋"/>
          <w:sz w:val="28"/>
          <w:szCs w:val="28"/>
          <w:highlight w:val="none"/>
        </w:rPr>
        <w:t>甲、乙双方根据“</w:t>
      </w:r>
      <w:r>
        <w:rPr>
          <w:rFonts w:hint="eastAsia" w:ascii="仿宋" w:hAnsi="仿宋" w:eastAsia="仿宋" w:cs="仿宋"/>
          <w:sz w:val="28"/>
          <w:szCs w:val="28"/>
          <w:highlight w:val="none"/>
          <w:lang w:eastAsia="zh-CN"/>
        </w:rPr>
        <w:t>江</w:t>
      </w:r>
      <w:r>
        <w:rPr>
          <w:rFonts w:hint="eastAsia" w:ascii="仿宋" w:hAnsi="仿宋" w:eastAsia="仿宋" w:cs="仿宋"/>
          <w:sz w:val="28"/>
          <w:szCs w:val="28"/>
          <w:highlight w:val="none"/>
        </w:rPr>
        <w:t>门市家用不锈钢水槽产品质量比对研究服务项目”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2026018</w:t>
      </w:r>
      <w:r>
        <w:rPr>
          <w:rFonts w:hint="eastAsia" w:ascii="仿宋" w:hAnsi="仿宋" w:eastAsia="仿宋" w:cs="仿宋"/>
          <w:sz w:val="28"/>
          <w:szCs w:val="28"/>
          <w:highlight w:val="none"/>
        </w:rPr>
        <w:t>）</w:t>
      </w:r>
      <w:r>
        <w:rPr>
          <w:rFonts w:hint="eastAsia" w:ascii="仿宋" w:hAnsi="仿宋" w:eastAsia="仿宋" w:cs="仿宋"/>
          <w:sz w:val="28"/>
          <w:szCs w:val="28"/>
          <w:highlight w:val="none"/>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甲方委托乙方就江门市家用不锈钢水槽产品质量比对研究服务项目提供技术服务。</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（一）技术服务内容：</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对家用不锈钢水槽产品耐腐蚀性能、排水机构使用性能、承载性能等方面进行检测和质量比对，检验样品不少于14批次，每批次两台产品，其中本地生产厂家不少于8批次。根据检测结果和比对分析形成家用不锈钢水槽产品质量比对报告。</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2．比对测试指标需涵盖耐腐蚀性能、排水机构使用性能、承载性能等关键指标，检测项目不少于13个。</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3．收集与家用不锈钢水槽产品相关的国内外标准并进行标准比对，查找和分析影响产品质量和市场竞争力的关键差异点，形成标准比对报告。</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4．组织开展不少于3家企业调研和座谈交流。</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5．邀请不少于3个相关领域专家对</w:t>
      </w:r>
      <w:r>
        <w:rPr>
          <w:rFonts w:hint="eastAsia" w:ascii="仿宋" w:hAnsi="仿宋" w:eastAsia="仿宋" w:cs="仿宋"/>
          <w:sz w:val="28"/>
          <w:szCs w:val="28"/>
          <w:highlight w:val="none"/>
        </w:rPr>
        <w:t>比对研究分析报告</w:t>
      </w:r>
      <w:r>
        <w:rPr>
          <w:rFonts w:hint="eastAsia" w:ascii="仿宋" w:hAnsi="仿宋" w:eastAsia="仿宋" w:cs="仿宋"/>
          <w:sz w:val="28"/>
          <w:szCs w:val="28"/>
          <w:highlight w:val="none"/>
        </w:rPr>
        <w:t>的专业性、合理性、准确性进行论证评审。</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6.组织本地家用不锈钢水槽生产企业进行质量比对成果发布；开展不少于一次“质量问诊”活动。</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（二）技术服务要求：</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1.乙方应对方案设计的科学性、数据测算的准确性、综合评估结果的公正性负责。</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2.乙方应于本合同签订后10个工作日内制定《江门市家用不锈钢水槽产品质量比对研究</w:t>
      </w:r>
      <w:r>
        <w:rPr>
          <w:rFonts w:hint="eastAsia" w:ascii="仿宋" w:hAnsi="仿宋" w:eastAsia="仿宋" w:cs="仿宋"/>
          <w:sz w:val="28"/>
          <w:szCs w:val="28"/>
          <w:highlight w:val="none"/>
          <w:lang w:eastAsia="zh-CN"/>
        </w:rPr>
        <w:t>方案</w:t>
      </w:r>
      <w:r>
        <w:rPr>
          <w:rFonts w:hint="eastAsia" w:ascii="仿宋" w:hAnsi="仿宋" w:eastAsia="仿宋" w:cs="仿宋"/>
          <w:sz w:val="28"/>
          <w:szCs w:val="28"/>
          <w:highlight w:val="none"/>
        </w:rPr>
        <w:t>》报甲方，经甲方核准后实施；于202</w:t>
      </w:r>
      <w:r>
        <w:rPr>
          <w:rFonts w:hint="eastAsia" w:ascii="仿宋" w:hAnsi="仿宋" w:eastAsia="仿宋" w:cs="仿宋"/>
          <w:sz w:val="28"/>
          <w:szCs w:val="28"/>
          <w:highlight w:val="none"/>
          <w:lang w:eastAsia="zh-CN"/>
        </w:rPr>
        <w:t>6</w:t>
      </w:r>
      <w:r>
        <w:rPr>
          <w:rFonts w:hint="eastAsia" w:ascii="仿宋" w:hAnsi="仿宋" w:eastAsia="仿宋" w:cs="仿宋"/>
          <w:sz w:val="28"/>
          <w:szCs w:val="28"/>
          <w:highlight w:val="none"/>
        </w:rPr>
        <w:t>年11月底前完成《江门市家用不锈钢水槽产品质量比对研究分析报告》初稿报甲方审核。</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第二条  合同期限、项目费用及支付方式</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u w:val="single"/>
        </w:rPr>
        <w:t>乙方向甲方提供服务的合同期限为自本合同签订生效之日起至202</w:t>
      </w:r>
      <w:r>
        <w:rPr>
          <w:rFonts w:hint="eastAsia" w:ascii="仿宋" w:hAnsi="仿宋" w:eastAsia="仿宋" w:cs="仿宋"/>
          <w:color w:val="000000"/>
          <w:sz w:val="28"/>
          <w:szCs w:val="28"/>
          <w:highlight w:val="none"/>
          <w:u w:val="single"/>
          <w:lang w:val="en-US" w:eastAsia="zh-CN"/>
        </w:rPr>
        <w:t>6</w:t>
      </w:r>
      <w:r>
        <w:rPr>
          <w:rFonts w:hint="eastAsia" w:ascii="仿宋" w:hAnsi="仿宋" w:eastAsia="仿宋" w:cs="仿宋"/>
          <w:color w:val="000000"/>
          <w:sz w:val="28"/>
          <w:szCs w:val="28"/>
          <w:highlight w:val="none"/>
          <w:u w:val="single"/>
        </w:rPr>
        <w:t>年12月31日。</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务总费用（即项目总费用、含税价）为</w:t>
      </w:r>
      <w:r>
        <w:rPr>
          <w:rFonts w:hint="eastAsia" w:ascii="仿宋" w:hAnsi="仿宋" w:eastAsia="仿宋" w:cs="仿宋"/>
          <w:bCs/>
          <w:sz w:val="28"/>
          <w:szCs w:val="28"/>
          <w:highlight w:val="none"/>
          <w:u w:val="single"/>
        </w:rPr>
        <w:t>人民币</w:t>
      </w:r>
      <w:r>
        <w:rPr>
          <w:rFonts w:hint="eastAsia" w:ascii="仿宋" w:hAnsi="仿宋" w:eastAsia="仿宋" w:cs="仿宋"/>
          <w:bCs/>
          <w:sz w:val="28"/>
          <w:szCs w:val="28"/>
          <w:highlight w:val="none"/>
          <w:u w:val="single"/>
        </w:rPr>
        <w:t>XX万元整（¥XX0,000.00元）</w:t>
      </w:r>
      <w:r>
        <w:rPr>
          <w:rFonts w:hint="eastAsia" w:ascii="仿宋" w:hAnsi="仿宋" w:eastAsia="仿宋" w:cs="仿宋"/>
          <w:bCs/>
          <w:color w:val="666666"/>
          <w:sz w:val="28"/>
          <w:szCs w:val="28"/>
          <w:highlight w:val="none"/>
          <w:shd w:val="clear" w:color="auto" w:fill="FFFFFF"/>
        </w:rPr>
        <w:t>。</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双方签署合同后，甲方分两期支付相应的款项给乙方：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1.第一期：甲、乙双方签订本合同后，甲方收到乙方开具的相对应金额发票之日起30个工作日内，向乙方支付项目总费用的50%，即</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rPr>
        <w:t>XX万元整（</w:t>
      </w:r>
      <w:r>
        <w:rPr>
          <w:rFonts w:hint="eastAsia" w:ascii="仿宋" w:hAnsi="仿宋" w:eastAsia="仿宋" w:cs="仿宋"/>
          <w:bCs/>
          <w:sz w:val="28"/>
          <w:szCs w:val="28"/>
          <w:highlight w:val="none"/>
          <w:u w:val="single"/>
        </w:rPr>
        <w:t>¥XXXX.00元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rPr>
        <w:t>XX万元整（</w:t>
      </w:r>
      <w:r>
        <w:rPr>
          <w:rFonts w:hint="eastAsia" w:ascii="仿宋" w:hAnsi="仿宋" w:eastAsia="仿宋" w:cs="仿宋"/>
          <w:bCs/>
          <w:sz w:val="28"/>
          <w:szCs w:val="28"/>
          <w:highlight w:val="none"/>
          <w:u w:val="single"/>
        </w:rPr>
        <w:t>¥XX0,000.00元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3.</w:t>
      </w:r>
      <w:r>
        <w:rPr>
          <w:rFonts w:hint="eastAsia" w:ascii="仿宋" w:hAnsi="仿宋" w:eastAsia="仿宋" w:cs="仿宋"/>
          <w:sz w:val="28"/>
          <w:szCs w:val="28"/>
          <w:highlight w:val="none"/>
        </w:rPr>
        <w:t>乙方确认：</w:t>
      </w:r>
      <w:r>
        <w:rPr>
          <w:rFonts w:ascii="仿宋" w:hAnsi="仿宋" w:eastAsia="仿宋" w:cs="仿宋"/>
          <w:sz w:val="28"/>
          <w:szCs w:val="28"/>
          <w:highlight w:val="none"/>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highlight w:val="none"/>
        </w:rPr>
        <w:t>不视为甲方违约，乙方不能据此追究甲方逾期付款的违约责任。</w:t>
      </w:r>
    </w:p>
    <w:p>
      <w:pPr>
        <w:pStyle w:val="2"/>
        <w:ind w:firstLine="560"/>
        <w:rPr>
          <w:rFonts w:ascii="仿宋" w:hAnsi="仿宋" w:eastAsia="仿宋" w:cs="仿宋"/>
          <w:sz w:val="28"/>
          <w:szCs w:val="28"/>
          <w:highlight w:val="none"/>
        </w:rPr>
      </w:pPr>
      <w:r>
        <w:rPr>
          <w:rFonts w:ascii="仿宋" w:hAnsi="仿宋" w:eastAsia="仿宋" w:cs="仿宋"/>
          <w:sz w:val="28"/>
          <w:szCs w:val="28"/>
          <w:highlight w:val="none"/>
        </w:rPr>
        <w:t>4.</w:t>
      </w:r>
      <w:r>
        <w:rPr>
          <w:rFonts w:hint="eastAsia" w:ascii="仿宋" w:hAnsi="仿宋" w:eastAsia="仿宋" w:cs="仿宋"/>
          <w:sz w:val="28"/>
          <w:szCs w:val="28"/>
          <w:highlight w:val="none"/>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8"/>
        <w:numPr>
          <w:ilvl w:val="0"/>
          <w:numId w:val="1"/>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8"/>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8"/>
        <w:spacing w:line="48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w:t>
      </w:r>
      <w:r>
        <w:rPr>
          <w:rFonts w:hint="eastAsia" w:ascii="仿宋" w:hAnsi="仿宋" w:eastAsia="仿宋" w:cs="仿宋"/>
          <w:sz w:val="28"/>
          <w:szCs w:val="28"/>
          <w:highlight w:val="none"/>
          <w:lang w:val="en-US" w:eastAsia="zh-CN" w:bidi="ar"/>
        </w:rPr>
        <w:t>社会</w:t>
      </w:r>
      <w:r>
        <w:rPr>
          <w:rFonts w:hint="eastAsia" w:ascii="仿宋" w:hAnsi="仿宋" w:eastAsia="仿宋" w:cs="仿宋"/>
          <w:sz w:val="28"/>
          <w:szCs w:val="28"/>
          <w:highlight w:val="none"/>
          <w:lang w:bidi="ar"/>
        </w:rPr>
        <w:t>信用代码：11440700MB2C90725T</w:t>
      </w:r>
    </w:p>
    <w:p>
      <w:pPr>
        <w:spacing w:line="480" w:lineRule="exact"/>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w:t>
      </w:r>
      <w:r>
        <w:rPr>
          <w:rFonts w:hint="eastAsia" w:ascii="仿宋" w:hAnsi="仿宋" w:eastAsia="仿宋" w:cs="仿宋"/>
          <w:sz w:val="28"/>
          <w:szCs w:val="28"/>
          <w:highlight w:val="none"/>
          <w:u w:val="single"/>
        </w:rPr>
        <w:t xml:space="preserve"> 15 </w:t>
      </w:r>
      <w:r>
        <w:rPr>
          <w:rFonts w:hint="eastAsia" w:ascii="仿宋" w:hAnsi="仿宋" w:eastAsia="仿宋" w:cs="仿宋"/>
          <w:sz w:val="28"/>
          <w:szCs w:val="28"/>
          <w:highlight w:val="none"/>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验收标准：由甲方依据国家、省、市制定的法律法规政策、</w:t>
      </w:r>
      <w:r>
        <w:rPr>
          <w:rFonts w:hint="eastAsia" w:ascii="仿宋" w:hAnsi="仿宋" w:eastAsia="仿宋" w:cs="仿宋"/>
          <w:bCs/>
          <w:sz w:val="28"/>
          <w:szCs w:val="28"/>
          <w:highlight w:val="none"/>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经甲方验收不</w:t>
      </w:r>
      <w:r>
        <w:rPr>
          <w:rFonts w:hint="eastAsia" w:ascii="仿宋" w:hAnsi="仿宋" w:eastAsia="仿宋" w:cs="仿宋"/>
          <w:sz w:val="28"/>
          <w:szCs w:val="28"/>
          <w:highlight w:val="none"/>
        </w:rPr>
        <w:t>合格</w:t>
      </w:r>
      <w:r>
        <w:rPr>
          <w:rFonts w:hint="eastAsia" w:ascii="仿宋" w:hAnsi="仿宋" w:eastAsia="仿宋" w:cs="仿宋"/>
          <w:bCs/>
          <w:sz w:val="28"/>
          <w:szCs w:val="28"/>
          <w:highlight w:val="none"/>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甲方按本合同约定向乙方支付项目费用。</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highlight w:val="none"/>
        </w:rPr>
        <w:t>。</w:t>
      </w:r>
    </w:p>
    <w:p>
      <w:pPr>
        <w:numPr>
          <w:ilvl w:val="0"/>
          <w:numId w:val="4"/>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项目在本合同履行过程中，非因乙方原因有可能致使合同履行失败或者部分失败的，乙方应在知晓该等事项之日起1个工作日内通知甲方，同时采取措施减少损失。</w:t>
      </w:r>
    </w:p>
    <w:p>
      <w:pPr>
        <w:numPr>
          <w:ilvl w:val="0"/>
          <w:numId w:val="4"/>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spacing w:line="480" w:lineRule="exact"/>
        <w:ind w:firstLine="560" w:firstLineChars="200"/>
        <w:outlineLvl w:val="0"/>
        <w:rPr>
          <w:rFonts w:ascii="仿宋" w:hAnsi="仿宋" w:eastAsia="仿宋" w:cs="仿宋"/>
          <w:sz w:val="28"/>
          <w:szCs w:val="28"/>
          <w:highlight w:val="none"/>
        </w:rPr>
      </w:pPr>
      <w:r>
        <w:rPr>
          <w:rFonts w:hint="eastAsia" w:ascii="仿宋" w:hAnsi="仿宋" w:eastAsia="仿宋" w:cs="仿宋"/>
          <w:sz w:val="28"/>
          <w:szCs w:val="28"/>
          <w:highlight w:val="non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highlight w:val="none"/>
          <w:lang w:bidi="ar"/>
        </w:rPr>
        <w:t>不限于律师费、诉讼费、赔偿款、交通费、调查费等</w:t>
      </w:r>
      <w:r>
        <w:rPr>
          <w:rFonts w:hint="eastAsia" w:ascii="仿宋" w:hAnsi="仿宋" w:eastAsia="仿宋" w:cs="仿宋"/>
          <w:sz w:val="28"/>
          <w:szCs w:val="28"/>
          <w:highlight w:val="none"/>
        </w:rPr>
        <w:t>。前述信息资料</w:t>
      </w:r>
      <w:r>
        <w:rPr>
          <w:rFonts w:hint="eastAsia" w:ascii="仿宋" w:hAnsi="仿宋" w:eastAsia="仿宋" w:cs="仿宋"/>
          <w:sz w:val="28"/>
          <w:szCs w:val="28"/>
          <w:highlight w:val="none"/>
          <w:lang w:val="zh-CN"/>
        </w:rPr>
        <w:t>均属于永久保密期限范围，均对乙方有约束力，不因合同的变更、解除、终止而终止</w:t>
      </w:r>
      <w:r>
        <w:rPr>
          <w:rFonts w:hint="eastAsia" w:ascii="仿宋" w:hAnsi="仿宋" w:eastAsia="仿宋" w:cs="仿宋"/>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第七条  知识产权</w:t>
      </w:r>
    </w:p>
    <w:p>
      <w:pPr>
        <w:spacing w:line="480" w:lineRule="exact"/>
        <w:ind w:firstLine="42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firstLineChars="0"/>
        <w:rPr>
          <w:rFonts w:ascii="仿宋" w:hAnsi="仿宋" w:eastAsia="仿宋" w:cs="仿宋"/>
          <w:sz w:val="28"/>
          <w:szCs w:val="28"/>
          <w:highlight w:val="none"/>
        </w:rPr>
      </w:pPr>
      <w:r>
        <w:rPr>
          <w:rFonts w:hint="eastAsia" w:ascii="仿宋" w:hAnsi="仿宋" w:eastAsia="仿宋" w:cs="仿宋"/>
          <w:sz w:val="28"/>
          <w:szCs w:val="28"/>
          <w:highlight w:val="none"/>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第八条  不可抗力</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第九条  违约责任</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widowControl/>
        <w:spacing w:line="48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乙方发生以下情况的，甲方有权单方解除本合同、另行委托第三方提供服务或协助乙方，因此产生的费用由乙方全部承担，解除的通知自到达乙方之日起即生效；另，甲方有权扣减掉</w:t>
      </w:r>
      <w:r>
        <w:rPr>
          <w:rFonts w:hint="eastAsia" w:ascii="仿宋" w:hAnsi="仿宋" w:eastAsia="仿宋" w:cs="仿宋"/>
          <w:b w:val="0"/>
          <w:bCs w:val="0"/>
          <w:i w:val="0"/>
          <w:iCs w:val="0"/>
          <w:caps w:val="0"/>
          <w:spacing w:val="0"/>
          <w:kern w:val="2"/>
          <w:sz w:val="28"/>
          <w:szCs w:val="28"/>
          <w:highlight w:val="none"/>
          <w:shd w:val="clear"/>
          <w:lang w:val="en-US" w:eastAsia="zh-CN" w:bidi="ar"/>
        </w:rPr>
        <w:t>在乙方已收取款项中扣除与未通过验收或违约部分工作相对应的费用后</w:t>
      </w:r>
      <w:r>
        <w:rPr>
          <w:rFonts w:hint="eastAsia" w:ascii="仿宋" w:hAnsi="仿宋" w:eastAsia="仿宋" w:cs="仿宋"/>
          <w:sz w:val="28"/>
          <w:szCs w:val="28"/>
          <w:highlight w:val="none"/>
        </w:rPr>
        <w:t>后要求乙方在合同解除之日起三个工作日内将已收取款项剩余部分金额给甲方（乙方已经开具发票所产生的税费损失由乙方自行承担），也有权要求乙方支付本项目总费用20％的违约金给甲方</w:t>
      </w:r>
      <w:r>
        <w:rPr>
          <w:rFonts w:hint="eastAsia" w:ascii="仿宋" w:hAnsi="仿宋" w:eastAsia="仿宋" w:cs="仿宋"/>
          <w:sz w:val="28"/>
          <w:szCs w:val="28"/>
          <w:highlight w:val="none"/>
          <w:lang w:eastAsia="zh-CN"/>
        </w:rPr>
        <w:t>。</w:t>
      </w:r>
      <w:r>
        <w:rPr>
          <w:rFonts w:hint="eastAsia" w:ascii="仿宋" w:hAnsi="仿宋" w:eastAsia="仿宋" w:cs="仿宋"/>
          <w:b w:val="0"/>
          <w:bCs w:val="0"/>
          <w:i w:val="0"/>
          <w:iCs w:val="0"/>
          <w:caps w:val="0"/>
          <w:spacing w:val="0"/>
          <w:kern w:val="2"/>
          <w:sz w:val="28"/>
          <w:szCs w:val="28"/>
          <w:highlight w:val="none"/>
          <w:shd w:val="clear"/>
          <w:lang w:val="en-US" w:eastAsia="zh-CN" w:bidi="ar"/>
        </w:rPr>
        <w:t>若该违约金不足以弥补甲方因乙方违约所遭受的全部损失，甲方有权要求乙方进一步赔偿差额部分。</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（4）乙方伪造数据的；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（5）乙方出具错误的</w:t>
      </w:r>
      <w:r>
        <w:rPr>
          <w:rFonts w:hint="eastAsia" w:ascii="仿宋" w:hAnsi="仿宋" w:eastAsia="仿宋" w:cs="仿宋"/>
          <w:sz w:val="28"/>
          <w:szCs w:val="28"/>
          <w:highlight w:val="none"/>
          <w:lang w:eastAsia="zh-CN"/>
        </w:rPr>
        <w:t>检测</w:t>
      </w:r>
      <w:r>
        <w:rPr>
          <w:rFonts w:hint="eastAsia" w:ascii="仿宋" w:hAnsi="仿宋" w:eastAsia="仿宋" w:cs="仿宋"/>
          <w:sz w:val="28"/>
          <w:szCs w:val="28"/>
          <w:highlight w:val="none"/>
        </w:rPr>
        <w:t>结果以及综合评估结果的。</w:t>
      </w:r>
    </w:p>
    <w:p>
      <w:pPr>
        <w:spacing w:line="480" w:lineRule="exact"/>
        <w:rPr>
          <w:rFonts w:ascii="仿宋" w:hAnsi="仿宋" w:eastAsia="仿宋" w:cs="仿宋"/>
          <w:sz w:val="28"/>
          <w:szCs w:val="28"/>
          <w:highlight w:val="none"/>
        </w:rPr>
      </w:pPr>
      <w:r>
        <w:rPr>
          <w:rFonts w:hint="eastAsia" w:ascii="仿宋" w:hAnsi="仿宋" w:eastAsia="仿宋" w:cs="仿宋"/>
          <w:b/>
          <w:bCs/>
          <w:sz w:val="28"/>
          <w:szCs w:val="28"/>
          <w:highlight w:val="none"/>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因一方违约使合同不能继续履行或没有必要继续履行。</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出现法律法规或国家政策规定等特定情形导致合同不能继续履行。</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第十一条  争议的解决办法</w:t>
      </w:r>
    </w:p>
    <w:p>
      <w:pPr>
        <w:numPr>
          <w:ilvl w:val="255"/>
          <w:numId w:val="0"/>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第十二条 其他</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highlight w:val="none"/>
        </w:rPr>
        <w:t>。</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本合同一式</w:t>
      </w:r>
      <w:r>
        <w:rPr>
          <w:rFonts w:hint="eastAsia" w:ascii="仿宋" w:hAnsi="仿宋" w:eastAsia="仿宋" w:cs="仿宋"/>
          <w:sz w:val="28"/>
          <w:szCs w:val="28"/>
          <w:highlight w:val="none"/>
        </w:rPr>
        <w:t>肆</w:t>
      </w:r>
      <w:r>
        <w:rPr>
          <w:rFonts w:hint="eastAsia" w:ascii="仿宋" w:hAnsi="仿宋" w:eastAsia="仿宋" w:cs="仿宋"/>
          <w:sz w:val="28"/>
          <w:szCs w:val="28"/>
          <w:highlight w:val="none"/>
        </w:rPr>
        <w:t>份，自甲、乙双方签字和盖章后生效，甲方执</w:t>
      </w:r>
      <w:r>
        <w:rPr>
          <w:rFonts w:hint="eastAsia" w:ascii="仿宋" w:hAnsi="仿宋" w:eastAsia="仿宋" w:cs="仿宋"/>
          <w:sz w:val="28"/>
          <w:szCs w:val="28"/>
          <w:highlight w:val="none"/>
        </w:rPr>
        <w:t>叁</w:t>
      </w:r>
      <w:r>
        <w:rPr>
          <w:rFonts w:hint="eastAsia" w:ascii="仿宋" w:hAnsi="仿宋" w:eastAsia="仿宋" w:cs="仿宋"/>
          <w:sz w:val="28"/>
          <w:szCs w:val="28"/>
          <w:highlight w:val="none"/>
        </w:rPr>
        <w:t>份、乙方执</w:t>
      </w:r>
      <w:r>
        <w:rPr>
          <w:rFonts w:hint="eastAsia" w:ascii="仿宋" w:hAnsi="仿宋" w:eastAsia="仿宋" w:cs="仿宋"/>
          <w:sz w:val="28"/>
          <w:szCs w:val="28"/>
          <w:highlight w:val="none"/>
        </w:rPr>
        <w:t>壹</w:t>
      </w:r>
      <w:r>
        <w:rPr>
          <w:rFonts w:hint="eastAsia" w:ascii="仿宋" w:hAnsi="仿宋" w:eastAsia="仿宋" w:cs="仿宋"/>
          <w:sz w:val="28"/>
          <w:szCs w:val="28"/>
          <w:highlight w:val="none"/>
        </w:rPr>
        <w:t>份，具有同等法律效力。</w:t>
      </w:r>
    </w:p>
    <w:p>
      <w:pPr>
        <w:pStyle w:val="10"/>
        <w:numPr>
          <w:ilvl w:val="0"/>
          <w:numId w:val="8"/>
        </w:numPr>
        <w:ind w:firstLineChars="0"/>
        <w:rPr>
          <w:rFonts w:ascii="仿宋" w:hAnsi="仿宋" w:eastAsia="仿宋" w:cs="仿宋"/>
          <w:szCs w:val="28"/>
          <w:highlight w:val="none"/>
        </w:rPr>
      </w:pPr>
      <w:r>
        <w:rPr>
          <w:rFonts w:hint="eastAsia" w:ascii="仿宋" w:hAnsi="仿宋" w:eastAsia="仿宋" w:cs="仿宋"/>
          <w:szCs w:val="28"/>
          <w:highlight w:val="none"/>
        </w:rPr>
        <w:t>以下为本合同附件，与本合同具有同等效力：</w:t>
      </w:r>
    </w:p>
    <w:p>
      <w:pPr>
        <w:pStyle w:val="10"/>
        <w:numPr>
          <w:ilvl w:val="0"/>
          <w:numId w:val="9"/>
        </w:numPr>
        <w:ind w:firstLine="608"/>
        <w:rPr>
          <w:rFonts w:hint="eastAsia" w:ascii="仿宋" w:hAnsi="仿宋" w:eastAsia="仿宋" w:cs="仿宋"/>
          <w:szCs w:val="28"/>
          <w:highlight w:val="none"/>
        </w:rPr>
      </w:pPr>
      <w:r>
        <w:rPr>
          <w:rFonts w:hint="eastAsia" w:ascii="仿宋" w:hAnsi="仿宋" w:eastAsia="仿宋" w:cs="仿宋"/>
          <w:szCs w:val="28"/>
          <w:highlight w:val="none"/>
        </w:rPr>
        <w:t>江门市</w:t>
      </w:r>
      <w:r>
        <w:rPr>
          <w:rFonts w:hint="eastAsia" w:ascii="仿宋" w:hAnsi="仿宋" w:eastAsia="仿宋" w:cs="仿宋"/>
          <w:szCs w:val="28"/>
          <w:highlight w:val="none"/>
          <w:lang w:eastAsia="zh-CN"/>
        </w:rPr>
        <w:t>家用不锈钢水槽</w:t>
      </w:r>
      <w:r>
        <w:rPr>
          <w:rFonts w:hint="eastAsia" w:ascii="仿宋" w:hAnsi="仿宋" w:eastAsia="仿宋" w:cs="仿宋"/>
          <w:szCs w:val="28"/>
          <w:highlight w:val="none"/>
        </w:rPr>
        <w:t>产品质量比对研究服务项目采购公告；</w:t>
      </w:r>
    </w:p>
    <w:p>
      <w:pPr>
        <w:pStyle w:val="10"/>
        <w:numPr>
          <w:ilvl w:val="0"/>
          <w:numId w:val="9"/>
        </w:numPr>
        <w:ind w:firstLine="608"/>
        <w:rPr>
          <w:rFonts w:hint="eastAsia" w:ascii="仿宋" w:hAnsi="仿宋" w:eastAsia="仿宋" w:cs="仿宋"/>
          <w:szCs w:val="28"/>
          <w:highlight w:val="none"/>
        </w:rPr>
      </w:pPr>
      <w:r>
        <w:rPr>
          <w:rFonts w:hint="eastAsia" w:ascii="仿宋" w:hAnsi="仿宋" w:eastAsia="仿宋" w:cs="仿宋"/>
          <w:szCs w:val="28"/>
          <w:highlight w:val="none"/>
        </w:rPr>
        <w:t>江门市市场监督管理局相关项目采购结果公告；</w:t>
      </w:r>
    </w:p>
    <w:p>
      <w:pPr>
        <w:pStyle w:val="10"/>
        <w:numPr>
          <w:ilvl w:val="0"/>
          <w:numId w:val="9"/>
        </w:numPr>
        <w:ind w:firstLine="608"/>
        <w:rPr>
          <w:rFonts w:ascii="仿宋" w:hAnsi="仿宋" w:eastAsia="仿宋" w:cs="仿宋"/>
          <w:szCs w:val="28"/>
          <w:highlight w:val="none"/>
        </w:rPr>
      </w:pPr>
      <w:r>
        <w:rPr>
          <w:rFonts w:hint="eastAsia" w:ascii="仿宋" w:hAnsi="仿宋" w:eastAsia="仿宋" w:cs="仿宋"/>
          <w:szCs w:val="28"/>
          <w:highlight w:val="none"/>
        </w:rPr>
        <w:t>其他附件及补充协议等资料。</w:t>
      </w:r>
    </w:p>
    <w:p>
      <w:pPr>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480" w:lineRule="exact"/>
        <w:rPr>
          <w:rFonts w:ascii="仿宋" w:hAnsi="仿宋" w:eastAsia="仿宋" w:cs="仿宋"/>
          <w:sz w:val="28"/>
          <w:szCs w:val="28"/>
          <w:highlight w:val="none"/>
        </w:rPr>
      </w:pPr>
    </w:p>
    <w:p>
      <w:pPr>
        <w:spacing w:line="48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6527D"/>
    <w:rsid w:val="003055F2"/>
    <w:rsid w:val="00616879"/>
    <w:rsid w:val="00966675"/>
    <w:rsid w:val="00AE5953"/>
    <w:rsid w:val="00C136FD"/>
    <w:rsid w:val="00C66733"/>
    <w:rsid w:val="00E84D44"/>
    <w:rsid w:val="00F035DD"/>
    <w:rsid w:val="00FD1FE8"/>
    <w:rsid w:val="09D77ACF"/>
    <w:rsid w:val="09DE0A66"/>
    <w:rsid w:val="0BEA35C3"/>
    <w:rsid w:val="0DDF3CA5"/>
    <w:rsid w:val="0FB72321"/>
    <w:rsid w:val="10FC4243"/>
    <w:rsid w:val="171724B5"/>
    <w:rsid w:val="1A19383D"/>
    <w:rsid w:val="20075F93"/>
    <w:rsid w:val="24EE444C"/>
    <w:rsid w:val="28F2788A"/>
    <w:rsid w:val="293A0576"/>
    <w:rsid w:val="2D016C87"/>
    <w:rsid w:val="2F170DB4"/>
    <w:rsid w:val="391A5AE0"/>
    <w:rsid w:val="3B19643C"/>
    <w:rsid w:val="3BFEAB07"/>
    <w:rsid w:val="3F3FAB78"/>
    <w:rsid w:val="3FA76621"/>
    <w:rsid w:val="3FDEE9C6"/>
    <w:rsid w:val="404A6C17"/>
    <w:rsid w:val="43F43818"/>
    <w:rsid w:val="44801CB4"/>
    <w:rsid w:val="47C7B3FB"/>
    <w:rsid w:val="4B562BFB"/>
    <w:rsid w:val="4D261BEA"/>
    <w:rsid w:val="4DD70C4E"/>
    <w:rsid w:val="4FBF7F3A"/>
    <w:rsid w:val="5789094D"/>
    <w:rsid w:val="5BB2671C"/>
    <w:rsid w:val="65378CDF"/>
    <w:rsid w:val="676DDD6E"/>
    <w:rsid w:val="690D3BC4"/>
    <w:rsid w:val="693B3F28"/>
    <w:rsid w:val="6B7E7578"/>
    <w:rsid w:val="6C7B1287"/>
    <w:rsid w:val="6F5F4F93"/>
    <w:rsid w:val="6FC24231"/>
    <w:rsid w:val="72AF67A9"/>
    <w:rsid w:val="737FEFA4"/>
    <w:rsid w:val="75B726A1"/>
    <w:rsid w:val="76A81E4D"/>
    <w:rsid w:val="78FDA5AD"/>
    <w:rsid w:val="79276609"/>
    <w:rsid w:val="7C6FCE56"/>
    <w:rsid w:val="7EFEE140"/>
    <w:rsid w:val="7FF77C31"/>
    <w:rsid w:val="A3568A8E"/>
    <w:rsid w:val="AEBFBC52"/>
    <w:rsid w:val="B7F71E15"/>
    <w:rsid w:val="BFFFC92D"/>
    <w:rsid w:val="CE5D0EFB"/>
    <w:rsid w:val="CFDB5037"/>
    <w:rsid w:val="DFFD77BE"/>
    <w:rsid w:val="F0B3046A"/>
    <w:rsid w:val="F9EF3716"/>
    <w:rsid w:val="F9FFEEBE"/>
    <w:rsid w:val="FAC638BE"/>
    <w:rsid w:val="FDBC074E"/>
    <w:rsid w:val="FDFD0E44"/>
    <w:rsid w:val="FF8BB04C"/>
    <w:rsid w:val="FFF4E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6"/>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7"/>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character" w:customStyle="1" w:styleId="15">
    <w:name w:val="批注框文本 Char"/>
    <w:basedOn w:val="12"/>
    <w:link w:val="5"/>
    <w:qFormat/>
    <w:uiPriority w:val="0"/>
    <w:rPr>
      <w:rFonts w:eastAsia="仿宋_GB2312"/>
      <w:kern w:val="2"/>
      <w:sz w:val="18"/>
      <w:szCs w:val="18"/>
    </w:rPr>
  </w:style>
  <w:style w:type="character" w:customStyle="1" w:styleId="16">
    <w:name w:val="批注文字 Char"/>
    <w:basedOn w:val="12"/>
    <w:link w:val="3"/>
    <w:qFormat/>
    <w:uiPriority w:val="0"/>
    <w:rPr>
      <w:rFonts w:eastAsia="仿宋_GB2312"/>
      <w:kern w:val="2"/>
      <w:sz w:val="30"/>
    </w:rPr>
  </w:style>
  <w:style w:type="character" w:customStyle="1" w:styleId="17">
    <w:name w:val="批注主题 Char"/>
    <w:basedOn w:val="16"/>
    <w:link w:val="9"/>
    <w:qFormat/>
    <w:uiPriority w:val="0"/>
    <w:rPr>
      <w:rFonts w:eastAsia="仿宋_GB2312"/>
      <w:b/>
      <w:bCs/>
      <w:kern w:val="2"/>
      <w:sz w:val="30"/>
    </w:rPr>
  </w:style>
  <w:style w:type="paragraph" w:customStyle="1" w:styleId="18">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758</Words>
  <Characters>792</Characters>
  <Lines>3</Lines>
  <Paragraphs>9</Paragraphs>
  <TotalTime>3</TotalTime>
  <ScaleCrop>false</ScaleCrop>
  <LinksUpToDate>false</LinksUpToDate>
  <CharactersWithSpaces>804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2021-06-01T18:58:00Z</dcterms:created>
  <dc:creator>Administrator</dc:creator>
  <cp:lastModifiedBy>greatwall</cp:lastModifiedBy>
  <cp:lastPrinted>2025-04-15T01:10:00Z</cp:lastPrinted>
  <dcterms:modified xsi:type="dcterms:W3CDTF">2026-05-25T17:04:25Z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BD3A4CBF4118A789AFC60F6AD737C5F3</vt:lpwstr>
  </property>
  <property fmtid="{D5CDD505-2E9C-101B-9397-08002B2CF9AE}" pid="4" name="KSOTemplateDocerSaveRecord">
    <vt:lpwstr>eyJoZGlkIjoiOWQwNmY2ODM3YTNiMjkxOTQyOGUxNTRhMWQyMzg1Y2IiLCJ1c2VySWQiOiI2Nzk4Mzg4MTYifQ==</vt:lpwstr>
  </property>
</Properties>
</file>