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黑体" w:cs="Times New Roman"/>
          <w:sz w:val="30"/>
          <w:szCs w:val="30"/>
          <w:highlight w:val="none"/>
          <w:lang w:eastAsia="zh-CN"/>
        </w:rPr>
      </w:pPr>
      <w:r>
        <w:rPr>
          <w:rFonts w:hint="default" w:ascii="Times New Roman" w:hAnsi="Times New Roman" w:eastAsia="黑体" w:cs="Times New Roman"/>
          <w:sz w:val="30"/>
          <w:szCs w:val="30"/>
          <w:highlight w:val="none"/>
        </w:rPr>
        <w:t>附件</w:t>
      </w:r>
      <w:r>
        <w:rPr>
          <w:rFonts w:hint="default" w:ascii="Times New Roman" w:hAnsi="Times New Roman" w:eastAsia="黑体" w:cs="Times New Roman"/>
          <w:sz w:val="30"/>
          <w:szCs w:val="30"/>
          <w:highlight w:val="none"/>
          <w:lang w:val="en-US" w:eastAsia="zh-CN"/>
        </w:rPr>
        <w:t>1</w:t>
      </w: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黑体" w:cs="Times New Roman"/>
          <w:sz w:val="30"/>
          <w:szCs w:val="30"/>
          <w:highlight w:val="none"/>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b w:val="0"/>
          <w:bCs/>
          <w:sz w:val="44"/>
          <w:szCs w:val="44"/>
          <w:lang w:eastAsia="zh-CN"/>
        </w:rPr>
      </w:pPr>
      <w:r>
        <w:rPr>
          <w:rFonts w:hint="eastAsia" w:ascii="方正大标宋简体" w:hAnsi="方正大标宋简体" w:eastAsia="方正大标宋简体" w:cs="方正大标宋简体"/>
          <w:b w:val="0"/>
          <w:bCs/>
          <w:sz w:val="44"/>
          <w:szCs w:val="44"/>
          <w:lang w:eastAsia="zh-CN"/>
        </w:rPr>
        <w:t>2026年江门市生态环境执法装备</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楷体_GBK" w:cs="Times New Roman"/>
          <w:b/>
          <w:bCs/>
          <w:sz w:val="44"/>
          <w:szCs w:val="44"/>
          <w:highlight w:val="none"/>
          <w:lang w:val="en-US" w:eastAsia="zh-CN"/>
        </w:rPr>
      </w:pPr>
      <w:r>
        <w:rPr>
          <w:rFonts w:hint="eastAsia" w:ascii="方正大标宋简体" w:hAnsi="方正大标宋简体" w:eastAsia="方正大标宋简体" w:cs="方正大标宋简体"/>
          <w:b w:val="0"/>
          <w:bCs/>
          <w:sz w:val="44"/>
          <w:szCs w:val="44"/>
          <w:lang w:eastAsia="zh-CN"/>
        </w:rPr>
        <w:t>购置项目</w:t>
      </w:r>
      <w:r>
        <w:rPr>
          <w:rFonts w:hint="default" w:ascii="方正大标宋简体" w:hAnsi="方正大标宋简体" w:eastAsia="方正大标宋简体" w:cs="方正大标宋简体"/>
          <w:b w:val="0"/>
          <w:bCs/>
          <w:sz w:val="44"/>
          <w:szCs w:val="44"/>
          <w:lang w:val="en-US" w:eastAsia="zh-CN"/>
        </w:rPr>
        <w:t>技术参数</w:t>
      </w:r>
    </w:p>
    <w:p>
      <w:pPr>
        <w:spacing w:line="480" w:lineRule="exact"/>
        <w:jc w:val="center"/>
        <w:rPr>
          <w:rFonts w:hint="default" w:ascii="Times New Roman" w:hAnsi="Times New Roman" w:eastAsia="方正楷体_GBK" w:cs="Times New Roman"/>
          <w:b/>
          <w:bCs/>
          <w:sz w:val="44"/>
          <w:szCs w:val="44"/>
          <w:highlight w:val="none"/>
          <w:lang w:val="en-US" w:eastAsia="zh-CN"/>
        </w:rPr>
      </w:pPr>
    </w:p>
    <w:p>
      <w:pPr>
        <w:spacing w:line="480" w:lineRule="exac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 便携式恶臭检测仪</w:t>
      </w:r>
    </w:p>
    <w:tbl>
      <w:tblPr>
        <w:tblStyle w:val="10"/>
        <w:tblW w:w="8970"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62"/>
        <w:gridCol w:w="7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62" w:type="dxa"/>
            <w:vAlign w:val="center"/>
          </w:tcPr>
          <w:p>
            <w:pPr>
              <w:spacing w:line="480" w:lineRule="exact"/>
              <w:jc w:val="center"/>
              <w:rPr>
                <w:rFonts w:hint="default" w:ascii="Times New Roman" w:hAnsi="Times New Roman" w:cs="Times New Roman"/>
                <w:szCs w:val="21"/>
                <w:highlight w:val="none"/>
                <w:lang w:eastAsia="zh-CN"/>
              </w:rPr>
            </w:pPr>
            <w:r>
              <w:rPr>
                <w:rFonts w:hint="default" w:ascii="Times New Roman" w:hAnsi="Times New Roman" w:cs="Times New Roman"/>
                <w:b w:val="0"/>
                <w:bCs w:val="0"/>
                <w:szCs w:val="21"/>
                <w:highlight w:val="none"/>
              </w:rPr>
              <w:t>项目</w:t>
            </w:r>
          </w:p>
        </w:tc>
        <w:tc>
          <w:tcPr>
            <w:tcW w:w="7108" w:type="dxa"/>
            <w:vAlign w:val="center"/>
          </w:tcPr>
          <w:p>
            <w:pPr>
              <w:spacing w:line="480" w:lineRule="exact"/>
              <w:jc w:val="center"/>
              <w:rPr>
                <w:rFonts w:hint="default" w:ascii="Times New Roman" w:hAnsi="Times New Roman" w:cs="Times New Roman"/>
                <w:szCs w:val="21"/>
                <w:highlight w:val="none"/>
                <w:lang w:val="en-US" w:eastAsia="zh-CN"/>
              </w:rPr>
            </w:pPr>
            <w:r>
              <w:rPr>
                <w:rFonts w:hint="default" w:ascii="Times New Roman" w:hAnsi="Times New Roman" w:cs="Times New Roman"/>
                <w:b w:val="0"/>
                <w:bCs w:val="0"/>
                <w:szCs w:val="21"/>
                <w:highlight w:val="none"/>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62" w:type="dxa"/>
            <w:vAlign w:val="center"/>
          </w:tcPr>
          <w:p>
            <w:pPr>
              <w:spacing w:line="480" w:lineRule="exact"/>
              <w:jc w:val="center"/>
              <w:rPr>
                <w:rFonts w:hint="default" w:ascii="Times New Roman" w:hAnsi="Times New Roman" w:cs="Times New Roman"/>
                <w:szCs w:val="21"/>
                <w:highlight w:val="none"/>
                <w:lang w:eastAsia="zh-CN"/>
              </w:rPr>
            </w:pPr>
            <w:r>
              <w:rPr>
                <w:rFonts w:hint="default" w:ascii="Times New Roman" w:hAnsi="Times New Roman" w:cs="Times New Roman"/>
                <w:b w:val="0"/>
                <w:bCs w:val="0"/>
                <w:szCs w:val="21"/>
                <w:highlight w:val="none"/>
                <w:lang w:eastAsia="zh-CN"/>
              </w:rPr>
              <w:t>性能参数</w:t>
            </w:r>
          </w:p>
        </w:tc>
        <w:tc>
          <w:tcPr>
            <w:tcW w:w="7108" w:type="dxa"/>
            <w:vAlign w:val="center"/>
          </w:tcPr>
          <w:p>
            <w:pPr>
              <w:numPr>
                <w:ilvl w:val="0"/>
                <w:numId w:val="0"/>
              </w:numPr>
              <w:spacing w:line="480" w:lineRule="exact"/>
              <w:ind w:leftChars="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w:t>
            </w:r>
            <w:r>
              <w:rPr>
                <w:rFonts w:hint="eastAsia" w:ascii="Times New Roman" w:hAnsi="Times New Roman" w:cs="Times New Roman"/>
                <w:szCs w:val="21"/>
                <w:highlight w:val="none"/>
                <w:lang w:val="en-US" w:eastAsia="zh-CN"/>
              </w:rPr>
              <w:t>1.</w:t>
            </w:r>
            <w:r>
              <w:rPr>
                <w:rFonts w:hint="default" w:ascii="Times New Roman" w:hAnsi="Times New Roman" w:cs="Times New Roman"/>
                <w:szCs w:val="21"/>
                <w:highlight w:val="none"/>
                <w:lang w:val="en-US" w:eastAsia="zh-CN"/>
              </w:rPr>
              <w:t>可同时检测氨气、三甲胺、硫化氢、甲硫醇、甲硫醚、二甲二硫、二硫化碳、苯乙烯等气体，可自动计算臭气OU值;</w:t>
            </w:r>
          </w:p>
          <w:p>
            <w:pPr>
              <w:numPr>
                <w:ilvl w:val="0"/>
                <w:numId w:val="0"/>
              </w:numPr>
              <w:spacing w:line="480" w:lineRule="exact"/>
              <w:ind w:leftChars="0"/>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w:t>
            </w:r>
            <w:r>
              <w:rPr>
                <w:rFonts w:hint="default" w:ascii="Times New Roman" w:hAnsi="Times New Roman" w:cs="Times New Roman"/>
                <w:szCs w:val="21"/>
                <w:highlight w:val="none"/>
                <w:lang w:val="en-US" w:eastAsia="zh-CN"/>
              </w:rPr>
              <w:t>采用不低于5寸高清触摸彩屏，中文操作界面并带有按键快捷操作，方便现场快速操作使用；</w:t>
            </w:r>
          </w:p>
          <w:p>
            <w:pPr>
              <w:numPr>
                <w:ilvl w:val="0"/>
                <w:numId w:val="0"/>
              </w:numPr>
              <w:spacing w:line="480" w:lineRule="exact"/>
              <w:ind w:leftChars="0"/>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3.</w:t>
            </w:r>
            <w:r>
              <w:rPr>
                <w:rFonts w:hint="default" w:ascii="Times New Roman" w:hAnsi="Times New Roman" w:cs="Times New Roman"/>
                <w:szCs w:val="21"/>
                <w:highlight w:val="none"/>
                <w:lang w:val="en-US" w:eastAsia="zh-CN"/>
              </w:rPr>
              <w:t>内置锂电池无需外部电源即可连续工作8小时以上；</w:t>
            </w:r>
          </w:p>
          <w:p>
            <w:pPr>
              <w:numPr>
                <w:ilvl w:val="0"/>
                <w:numId w:val="0"/>
              </w:numPr>
              <w:spacing w:line="480" w:lineRule="exact"/>
              <w:ind w:leftChars="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w:t>
            </w:r>
            <w:r>
              <w:rPr>
                <w:rFonts w:hint="eastAsia" w:ascii="Times New Roman" w:hAnsi="Times New Roman" w:cs="Times New Roman"/>
                <w:szCs w:val="21"/>
                <w:highlight w:val="none"/>
                <w:lang w:val="en-US" w:eastAsia="zh-CN"/>
              </w:rPr>
              <w:t>4.</w:t>
            </w:r>
            <w:r>
              <w:rPr>
                <w:rFonts w:hint="default" w:ascii="Times New Roman" w:hAnsi="Times New Roman" w:cs="Times New Roman"/>
                <w:szCs w:val="21"/>
                <w:highlight w:val="none"/>
                <w:lang w:val="en-US" w:eastAsia="zh-CN"/>
              </w:rPr>
              <w:t>具有定位功能，可实时定位经纬度信息，可同步时钟；</w:t>
            </w:r>
          </w:p>
          <w:p>
            <w:pPr>
              <w:numPr>
                <w:ilvl w:val="0"/>
                <w:numId w:val="0"/>
              </w:numPr>
              <w:spacing w:line="480" w:lineRule="exact"/>
              <w:ind w:leftChars="0"/>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5.</w:t>
            </w:r>
            <w:r>
              <w:rPr>
                <w:rFonts w:hint="default" w:ascii="Times New Roman" w:hAnsi="Times New Roman" w:cs="Times New Roman"/>
                <w:szCs w:val="21"/>
                <w:highlight w:val="none"/>
                <w:lang w:val="en-US" w:eastAsia="zh-CN"/>
              </w:rPr>
              <w:t>单位自由切换，单位可选：PPM、mg/m3、Vol%、LEL%、PPHM、ppb；</w:t>
            </w:r>
          </w:p>
          <w:p>
            <w:pPr>
              <w:numPr>
                <w:ilvl w:val="0"/>
                <w:numId w:val="0"/>
              </w:numPr>
              <w:spacing w:line="480" w:lineRule="exact"/>
              <w:ind w:leftChars="0"/>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6.</w:t>
            </w:r>
            <w:r>
              <w:rPr>
                <w:rFonts w:hint="default" w:ascii="Times New Roman" w:hAnsi="Times New Roman" w:cs="Times New Roman"/>
                <w:szCs w:val="21"/>
                <w:highlight w:val="none"/>
                <w:lang w:val="en-US" w:eastAsia="zh-CN"/>
              </w:rPr>
              <w:t>量程及分辨率：</w:t>
            </w:r>
          </w:p>
          <w:p>
            <w:pPr>
              <w:numPr>
                <w:ilvl w:val="0"/>
                <w:numId w:val="0"/>
              </w:numPr>
              <w:spacing w:line="480" w:lineRule="exact"/>
              <w:ind w:leftChars="0"/>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w:t>
            </w:r>
            <w:r>
              <w:rPr>
                <w:rFonts w:hint="default" w:ascii="Times New Roman" w:hAnsi="Times New Roman" w:cs="Times New Roman"/>
                <w:szCs w:val="21"/>
                <w:highlight w:val="none"/>
                <w:lang w:val="en-US" w:eastAsia="zh-CN"/>
              </w:rPr>
              <w:t>臭气浓度（OU）：量程（0-1000），分辨率1（无量纲）；</w:t>
            </w:r>
          </w:p>
          <w:p>
            <w:pPr>
              <w:numPr>
                <w:ilvl w:val="0"/>
                <w:numId w:val="0"/>
              </w:numPr>
              <w:spacing w:line="480" w:lineRule="exact"/>
              <w:ind w:leftChars="0"/>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w:t>
            </w:r>
            <w:r>
              <w:rPr>
                <w:rFonts w:hint="default" w:ascii="Times New Roman" w:hAnsi="Times New Roman" w:cs="Times New Roman"/>
                <w:szCs w:val="21"/>
                <w:highlight w:val="none"/>
                <w:lang w:val="en-US" w:eastAsia="zh-CN"/>
              </w:rPr>
              <w:t>氨气：量程0-10ppm，分辨率0.01ppm；</w:t>
            </w:r>
          </w:p>
          <w:p>
            <w:pPr>
              <w:numPr>
                <w:ilvl w:val="0"/>
                <w:numId w:val="0"/>
              </w:numPr>
              <w:spacing w:line="480" w:lineRule="exact"/>
              <w:ind w:leftChars="0"/>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（3）</w:t>
            </w:r>
            <w:r>
              <w:rPr>
                <w:rFonts w:hint="default" w:ascii="Times New Roman" w:hAnsi="Times New Roman" w:cs="Times New Roman"/>
                <w:szCs w:val="21"/>
                <w:highlight w:val="none"/>
                <w:lang w:val="en-US" w:eastAsia="zh-CN"/>
              </w:rPr>
              <w:t>硫化氢：量程0-10ppm，分辨率0.01ppm；</w:t>
            </w:r>
          </w:p>
          <w:p>
            <w:pPr>
              <w:numPr>
                <w:ilvl w:val="0"/>
                <w:numId w:val="0"/>
              </w:numPr>
              <w:spacing w:line="480" w:lineRule="exact"/>
              <w:ind w:leftChars="0"/>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（4）</w:t>
            </w:r>
            <w:r>
              <w:rPr>
                <w:rFonts w:hint="default" w:ascii="Times New Roman" w:hAnsi="Times New Roman" w:cs="Times New Roman"/>
                <w:szCs w:val="21"/>
                <w:highlight w:val="none"/>
                <w:lang w:val="en-US" w:eastAsia="zh-CN"/>
              </w:rPr>
              <w:t>甲硫醇：量程0-10ppm，分辨率0.01ppm；</w:t>
            </w:r>
          </w:p>
          <w:p>
            <w:pPr>
              <w:numPr>
                <w:ilvl w:val="0"/>
                <w:numId w:val="0"/>
              </w:numPr>
              <w:spacing w:line="480" w:lineRule="exact"/>
              <w:ind w:leftChars="0"/>
              <w:rPr>
                <w:rFonts w:hint="eastAsia" w:ascii="Times New Roman" w:hAnsi="Times New Roman" w:eastAsia="宋体" w:cs="Times New Roman"/>
                <w:color w:val="auto"/>
                <w:szCs w:val="21"/>
                <w:highlight w:val="none"/>
                <w:lang w:val="en" w:eastAsia="zh-CN"/>
              </w:rPr>
            </w:pPr>
            <w:r>
              <w:rPr>
                <w:rFonts w:hint="eastAsia" w:ascii="Times New Roman" w:hAnsi="Times New Roman" w:cs="Times New Roman"/>
                <w:szCs w:val="21"/>
                <w:highlight w:val="none"/>
                <w:lang w:val="en-US" w:eastAsia="zh-CN"/>
              </w:rPr>
              <w:t>（</w:t>
            </w:r>
            <w:r>
              <w:rPr>
                <w:rFonts w:hint="eastAsia" w:ascii="Times New Roman" w:hAnsi="Times New Roman" w:cs="Times New Roman"/>
                <w:color w:val="auto"/>
                <w:szCs w:val="21"/>
                <w:highlight w:val="none"/>
                <w:lang w:val="en-US" w:eastAsia="zh-CN"/>
              </w:rPr>
              <w:t>5）</w:t>
            </w:r>
            <w:r>
              <w:rPr>
                <w:rFonts w:hint="eastAsia" w:ascii="Times New Roman" w:hAnsi="Times New Roman" w:eastAsia="宋体" w:cs="Times New Roman"/>
                <w:color w:val="auto"/>
                <w:szCs w:val="21"/>
                <w:highlight w:val="none"/>
                <w:lang w:val="en" w:eastAsia="zh-CN"/>
              </w:rPr>
              <w:t>三甲胺：量程0</w:t>
            </w:r>
            <w:r>
              <w:rPr>
                <w:rFonts w:hint="default" w:ascii="Times New Roman" w:hAnsi="Times New Roman" w:cs="Times New Roman"/>
                <w:szCs w:val="21"/>
                <w:highlight w:val="none"/>
                <w:lang w:val="en-US" w:eastAsia="zh-CN"/>
              </w:rPr>
              <w:t>-</w:t>
            </w:r>
            <w:r>
              <w:rPr>
                <w:rFonts w:hint="eastAsia" w:ascii="Times New Roman" w:hAnsi="Times New Roman" w:eastAsia="宋体" w:cs="Times New Roman"/>
                <w:color w:val="auto"/>
                <w:szCs w:val="21"/>
                <w:highlight w:val="none"/>
                <w:lang w:val="en" w:eastAsia="zh-CN"/>
              </w:rPr>
              <w:t>10ppm，分辨率0.01ppm；</w:t>
            </w:r>
          </w:p>
          <w:p>
            <w:pPr>
              <w:numPr>
                <w:ilvl w:val="0"/>
                <w:numId w:val="0"/>
              </w:numPr>
              <w:spacing w:line="480" w:lineRule="exact"/>
              <w:ind w:leftChars="0"/>
              <w:rPr>
                <w:rFonts w:hint="eastAsia" w:ascii="Times New Roman" w:hAnsi="Times New Roman" w:eastAsia="宋体" w:cs="Times New Roman"/>
                <w:color w:val="auto"/>
                <w:szCs w:val="21"/>
                <w:highlight w:val="none"/>
                <w:lang w:val="en" w:eastAsia="zh-CN"/>
              </w:rPr>
            </w:pPr>
            <w:r>
              <w:rPr>
                <w:rFonts w:hint="eastAsia" w:ascii="Times New Roman" w:hAnsi="Times New Roman" w:cs="Times New Roman"/>
                <w:color w:val="auto"/>
                <w:szCs w:val="21"/>
                <w:highlight w:val="none"/>
                <w:lang w:val="en-US" w:eastAsia="zh-CN"/>
              </w:rPr>
              <w:t>（6）</w:t>
            </w:r>
            <w:r>
              <w:rPr>
                <w:rFonts w:hint="eastAsia" w:ascii="Times New Roman" w:hAnsi="Times New Roman" w:eastAsia="宋体" w:cs="Times New Roman"/>
                <w:color w:val="auto"/>
                <w:szCs w:val="21"/>
                <w:highlight w:val="none"/>
                <w:lang w:val="en" w:eastAsia="zh-CN"/>
              </w:rPr>
              <w:t>苯乙烯：量程0</w:t>
            </w:r>
            <w:r>
              <w:rPr>
                <w:rFonts w:hint="default" w:ascii="Times New Roman" w:hAnsi="Times New Roman" w:cs="Times New Roman"/>
                <w:szCs w:val="21"/>
                <w:highlight w:val="none"/>
                <w:lang w:val="en-US" w:eastAsia="zh-CN"/>
              </w:rPr>
              <w:t>-</w:t>
            </w:r>
            <w:r>
              <w:rPr>
                <w:rFonts w:hint="eastAsia" w:ascii="Times New Roman" w:hAnsi="Times New Roman" w:eastAsia="宋体" w:cs="Times New Roman"/>
                <w:color w:val="auto"/>
                <w:szCs w:val="21"/>
                <w:highlight w:val="none"/>
                <w:lang w:val="en" w:eastAsia="zh-CN"/>
              </w:rPr>
              <w:t>10ppm，分辨率0.01ppm；</w:t>
            </w:r>
          </w:p>
          <w:p>
            <w:pPr>
              <w:numPr>
                <w:ilvl w:val="0"/>
                <w:numId w:val="0"/>
              </w:numPr>
              <w:spacing w:line="480" w:lineRule="exact"/>
              <w:ind w:leftChars="0"/>
              <w:rPr>
                <w:rFonts w:hint="eastAsia" w:ascii="Times New Roman" w:hAnsi="Times New Roman" w:eastAsia="宋体" w:cs="Times New Roman"/>
                <w:color w:val="auto"/>
                <w:szCs w:val="21"/>
                <w:highlight w:val="none"/>
                <w:lang w:val="en" w:eastAsia="zh-CN"/>
              </w:rPr>
            </w:pPr>
            <w:r>
              <w:rPr>
                <w:rFonts w:hint="eastAsia" w:ascii="Times New Roman" w:hAnsi="Times New Roman" w:cs="Times New Roman"/>
                <w:color w:val="auto"/>
                <w:szCs w:val="21"/>
                <w:highlight w:val="none"/>
                <w:lang w:val="en-US" w:eastAsia="zh-CN"/>
              </w:rPr>
              <w:t>（7）</w:t>
            </w:r>
            <w:r>
              <w:rPr>
                <w:rFonts w:hint="eastAsia" w:ascii="Times New Roman" w:hAnsi="Times New Roman" w:eastAsia="宋体" w:cs="Times New Roman"/>
                <w:color w:val="auto"/>
                <w:szCs w:val="21"/>
                <w:highlight w:val="none"/>
                <w:lang w:val="en" w:eastAsia="zh-CN"/>
              </w:rPr>
              <w:t>甲硫醚：量程0</w:t>
            </w:r>
            <w:r>
              <w:rPr>
                <w:rFonts w:hint="default" w:ascii="Times New Roman" w:hAnsi="Times New Roman" w:cs="Times New Roman"/>
                <w:szCs w:val="21"/>
                <w:highlight w:val="none"/>
                <w:lang w:val="en-US" w:eastAsia="zh-CN"/>
              </w:rPr>
              <w:t>-</w:t>
            </w:r>
            <w:r>
              <w:rPr>
                <w:rFonts w:hint="eastAsia" w:ascii="Times New Roman" w:hAnsi="Times New Roman" w:eastAsia="宋体" w:cs="Times New Roman"/>
                <w:color w:val="auto"/>
                <w:szCs w:val="21"/>
                <w:highlight w:val="none"/>
                <w:lang w:val="en" w:eastAsia="zh-CN"/>
              </w:rPr>
              <w:t>10ppm，分辨率0.01ppm；</w:t>
            </w:r>
          </w:p>
          <w:p>
            <w:pPr>
              <w:numPr>
                <w:ilvl w:val="0"/>
                <w:numId w:val="0"/>
              </w:numPr>
              <w:spacing w:line="480" w:lineRule="exact"/>
              <w:ind w:leftChars="0"/>
              <w:rPr>
                <w:rFonts w:hint="eastAsia" w:ascii="Times New Roman" w:hAnsi="Times New Roman" w:eastAsia="宋体" w:cs="Times New Roman"/>
                <w:color w:val="auto"/>
                <w:szCs w:val="21"/>
                <w:highlight w:val="none"/>
                <w:lang w:val="en" w:eastAsia="zh-CN"/>
              </w:rPr>
            </w:pPr>
            <w:r>
              <w:rPr>
                <w:rFonts w:hint="eastAsia" w:ascii="Times New Roman" w:hAnsi="Times New Roman" w:cs="Times New Roman"/>
                <w:color w:val="auto"/>
                <w:szCs w:val="21"/>
                <w:highlight w:val="none"/>
                <w:lang w:val="en-US" w:eastAsia="zh-CN"/>
              </w:rPr>
              <w:t>（8）</w:t>
            </w:r>
            <w:r>
              <w:rPr>
                <w:rFonts w:hint="eastAsia" w:ascii="Times New Roman" w:hAnsi="Times New Roman" w:eastAsia="宋体" w:cs="Times New Roman"/>
                <w:color w:val="auto"/>
                <w:szCs w:val="21"/>
                <w:highlight w:val="none"/>
                <w:lang w:val="en" w:eastAsia="zh-CN"/>
              </w:rPr>
              <w:t>二甲二硫：量程0</w:t>
            </w:r>
            <w:r>
              <w:rPr>
                <w:rFonts w:hint="default" w:ascii="Times New Roman" w:hAnsi="Times New Roman" w:cs="Times New Roman"/>
                <w:szCs w:val="21"/>
                <w:highlight w:val="none"/>
                <w:lang w:val="en-US" w:eastAsia="zh-CN"/>
              </w:rPr>
              <w:t>-</w:t>
            </w:r>
            <w:r>
              <w:rPr>
                <w:rFonts w:hint="eastAsia" w:ascii="Times New Roman" w:hAnsi="Times New Roman" w:eastAsia="宋体" w:cs="Times New Roman"/>
                <w:color w:val="auto"/>
                <w:szCs w:val="21"/>
                <w:highlight w:val="none"/>
                <w:lang w:val="en" w:eastAsia="zh-CN"/>
              </w:rPr>
              <w:t>10ppm，分辨率0.01ppm；</w:t>
            </w:r>
          </w:p>
          <w:p>
            <w:pPr>
              <w:numPr>
                <w:ilvl w:val="0"/>
                <w:numId w:val="0"/>
              </w:numPr>
              <w:spacing w:line="480" w:lineRule="exact"/>
              <w:ind w:leftChars="0"/>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（9）</w:t>
            </w:r>
            <w:r>
              <w:rPr>
                <w:rFonts w:hint="eastAsia" w:ascii="Times New Roman" w:hAnsi="Times New Roman" w:eastAsia="宋体" w:cs="Times New Roman"/>
                <w:color w:val="auto"/>
                <w:szCs w:val="21"/>
                <w:highlight w:val="none"/>
                <w:lang w:val="en" w:eastAsia="zh-CN"/>
              </w:rPr>
              <w:t>二硫化碳：量程0</w:t>
            </w:r>
            <w:r>
              <w:rPr>
                <w:rFonts w:hint="default" w:ascii="Times New Roman" w:hAnsi="Times New Roman" w:cs="Times New Roman"/>
                <w:szCs w:val="21"/>
                <w:highlight w:val="none"/>
                <w:lang w:val="en-US" w:eastAsia="zh-CN"/>
              </w:rPr>
              <w:t>-</w:t>
            </w:r>
            <w:r>
              <w:rPr>
                <w:rFonts w:hint="eastAsia" w:ascii="Times New Roman" w:hAnsi="Times New Roman" w:eastAsia="宋体" w:cs="Times New Roman"/>
                <w:color w:val="auto"/>
                <w:szCs w:val="21"/>
                <w:highlight w:val="none"/>
                <w:lang w:val="en" w:eastAsia="zh-CN"/>
              </w:rPr>
              <w:t>10ppm，分辨率0.01ppm；</w:t>
            </w:r>
          </w:p>
          <w:p>
            <w:pPr>
              <w:numPr>
                <w:ilvl w:val="0"/>
                <w:numId w:val="0"/>
              </w:numPr>
              <w:spacing w:line="480" w:lineRule="exact"/>
              <w:ind w:leftChars="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w:t>
            </w:r>
            <w:r>
              <w:rPr>
                <w:rFonts w:hint="eastAsia" w:ascii="Times New Roman" w:hAnsi="Times New Roman" w:cs="Times New Roman"/>
                <w:szCs w:val="21"/>
                <w:highlight w:val="none"/>
                <w:lang w:val="en-US" w:eastAsia="zh-CN"/>
              </w:rPr>
              <w:t>7.</w:t>
            </w:r>
            <w:r>
              <w:rPr>
                <w:rFonts w:hint="default" w:ascii="Times New Roman" w:hAnsi="Times New Roman" w:cs="Times New Roman"/>
                <w:szCs w:val="21"/>
                <w:highlight w:val="none"/>
                <w:lang w:val="en-US" w:eastAsia="zh-CN"/>
              </w:rPr>
              <w:t>检测精度：≤±5%；</w:t>
            </w:r>
          </w:p>
          <w:p>
            <w:pPr>
              <w:numPr>
                <w:ilvl w:val="0"/>
                <w:numId w:val="0"/>
              </w:numPr>
              <w:spacing w:line="480" w:lineRule="exact"/>
              <w:ind w:leftChars="0"/>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8.</w:t>
            </w:r>
            <w:r>
              <w:rPr>
                <w:rFonts w:hint="default" w:ascii="Times New Roman" w:hAnsi="Times New Roman" w:cs="Times New Roman"/>
                <w:szCs w:val="21"/>
                <w:highlight w:val="none"/>
                <w:lang w:val="en-US" w:eastAsia="zh-CN"/>
              </w:rPr>
              <w:t>响应时间：≤60s；</w:t>
            </w:r>
          </w:p>
          <w:p>
            <w:pPr>
              <w:numPr>
                <w:ilvl w:val="0"/>
                <w:numId w:val="0"/>
              </w:numPr>
              <w:spacing w:line="480" w:lineRule="exact"/>
              <w:ind w:leftChars="0"/>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9.防护等级：不低于IP65；</w:t>
            </w:r>
          </w:p>
          <w:p>
            <w:pPr>
              <w:numPr>
                <w:ilvl w:val="0"/>
                <w:numId w:val="0"/>
              </w:numPr>
              <w:spacing w:line="480" w:lineRule="exact"/>
              <w:ind w:leftChars="0"/>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10.数据存储≥5000组；</w:t>
            </w:r>
          </w:p>
        </w:tc>
      </w:tr>
    </w:tbl>
    <w:p>
      <w:pPr>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br w:type="page"/>
      </w:r>
    </w:p>
    <w:p>
      <w:pPr>
        <w:spacing w:line="480" w:lineRule="exact"/>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 废气监测设备（配套轻型无人机使用）</w:t>
      </w:r>
    </w:p>
    <w:tbl>
      <w:tblPr>
        <w:tblStyle w:val="10"/>
        <w:tblW w:w="8970"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77"/>
        <w:gridCol w:w="7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7" w:type="dxa"/>
            <w:vAlign w:val="center"/>
          </w:tcPr>
          <w:p>
            <w:pPr>
              <w:spacing w:line="480" w:lineRule="exact"/>
              <w:jc w:val="center"/>
              <w:rPr>
                <w:rFonts w:hint="default" w:ascii="Times New Roman" w:hAnsi="Times New Roman" w:cs="Times New Roman"/>
                <w:b w:val="0"/>
                <w:bCs w:val="0"/>
                <w:szCs w:val="21"/>
                <w:highlight w:val="none"/>
                <w:lang w:eastAsia="zh-CN"/>
              </w:rPr>
            </w:pPr>
            <w:r>
              <w:rPr>
                <w:rFonts w:hint="default" w:ascii="Times New Roman" w:hAnsi="Times New Roman" w:cs="Times New Roman"/>
                <w:b w:val="0"/>
                <w:bCs w:val="0"/>
                <w:szCs w:val="21"/>
                <w:highlight w:val="none"/>
              </w:rPr>
              <w:t>项目</w:t>
            </w:r>
          </w:p>
        </w:tc>
        <w:tc>
          <w:tcPr>
            <w:tcW w:w="7093" w:type="dxa"/>
            <w:vAlign w:val="center"/>
          </w:tcPr>
          <w:p>
            <w:pPr>
              <w:spacing w:line="480" w:lineRule="exact"/>
              <w:jc w:val="center"/>
              <w:rPr>
                <w:rFonts w:hint="default" w:ascii="Times New Roman" w:hAnsi="Times New Roman" w:eastAsia="等线" w:cs="Times New Roman"/>
                <w:b w:val="0"/>
                <w:bCs w:val="0"/>
                <w:kern w:val="0"/>
                <w:sz w:val="20"/>
                <w:szCs w:val="20"/>
                <w:highlight w:val="none"/>
              </w:rPr>
            </w:pPr>
            <w:r>
              <w:rPr>
                <w:rFonts w:hint="default" w:ascii="Times New Roman" w:hAnsi="Times New Roman" w:cs="Times New Roman"/>
                <w:b w:val="0"/>
                <w:bCs w:val="0"/>
                <w:szCs w:val="21"/>
                <w:highlight w:val="none"/>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0" w:hRule="atLeast"/>
        </w:trPr>
        <w:tc>
          <w:tcPr>
            <w:tcW w:w="1877" w:type="dxa"/>
            <w:vAlign w:val="center"/>
          </w:tcPr>
          <w:p>
            <w:pPr>
              <w:spacing w:line="480" w:lineRule="exact"/>
              <w:jc w:val="center"/>
              <w:rPr>
                <w:rFonts w:hint="default" w:ascii="Times New Roman" w:hAnsi="Times New Roman" w:eastAsia="宋体" w:cs="Times New Roman"/>
                <w:b w:val="0"/>
                <w:bCs w:val="0"/>
                <w:szCs w:val="21"/>
                <w:highlight w:val="none"/>
                <w:lang w:eastAsia="zh-CN"/>
              </w:rPr>
            </w:pPr>
            <w:r>
              <w:rPr>
                <w:rFonts w:hint="default" w:ascii="Times New Roman" w:hAnsi="Times New Roman" w:cs="Times New Roman"/>
                <w:b w:val="0"/>
                <w:bCs w:val="0"/>
                <w:szCs w:val="21"/>
                <w:highlight w:val="none"/>
                <w:lang w:eastAsia="zh-CN"/>
              </w:rPr>
              <w:t>性能参数</w:t>
            </w:r>
          </w:p>
        </w:tc>
        <w:tc>
          <w:tcPr>
            <w:tcW w:w="7093" w:type="dxa"/>
            <w:vAlign w:val="center"/>
          </w:tcPr>
          <w:p>
            <w:pPr>
              <w:numPr>
                <w:ilvl w:val="0"/>
                <w:numId w:val="0"/>
              </w:numPr>
              <w:spacing w:line="480" w:lineRule="exact"/>
              <w:ind w:leftChars="0"/>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w:t>
            </w:r>
            <w:r>
              <w:rPr>
                <w:rFonts w:hint="eastAsia" w:ascii="Times New Roman" w:hAnsi="Times New Roman" w:eastAsia="宋体" w:cs="Times New Roman"/>
                <w:szCs w:val="21"/>
                <w:highlight w:val="none"/>
                <w:lang w:val="en-US" w:eastAsia="zh-CN"/>
              </w:rPr>
              <w:t>1.</w:t>
            </w:r>
            <w:r>
              <w:rPr>
                <w:rFonts w:hint="default" w:ascii="Times New Roman" w:hAnsi="Times New Roman" w:eastAsia="宋体" w:cs="Times New Roman"/>
                <w:szCs w:val="21"/>
                <w:highlight w:val="none"/>
                <w:lang w:val="en-US" w:eastAsia="zh-CN"/>
              </w:rPr>
              <w:t>适配大疆M4T型号无人机</w:t>
            </w:r>
            <w:r>
              <w:rPr>
                <w:rFonts w:hint="eastAsia" w:ascii="Times New Roman" w:hAnsi="Times New Roman" w:cs="Times New Roman"/>
                <w:szCs w:val="21"/>
                <w:highlight w:val="none"/>
                <w:lang w:val="en-US" w:eastAsia="zh-CN"/>
              </w:rPr>
              <w:t>；</w:t>
            </w:r>
          </w:p>
          <w:p>
            <w:pPr>
              <w:numPr>
                <w:ilvl w:val="0"/>
                <w:numId w:val="2"/>
              </w:numPr>
              <w:spacing w:line="480" w:lineRule="exact"/>
              <w:ind w:leftChars="0"/>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设备防护等级≥IP55，</w:t>
            </w:r>
            <w:r>
              <w:rPr>
                <w:rFonts w:hint="eastAsia" w:ascii="Times New Roman" w:hAnsi="Times New Roman" w:eastAsia="宋体" w:cs="Times New Roman"/>
                <w:szCs w:val="21"/>
                <w:highlight w:val="none"/>
                <w:lang w:val="en-US" w:eastAsia="zh-CN"/>
              </w:rPr>
              <w:t>质量≤240g</w:t>
            </w:r>
            <w:r>
              <w:rPr>
                <w:rFonts w:hint="eastAsia" w:ascii="Times New Roman" w:hAnsi="Times New Roman" w:cs="Times New Roman"/>
                <w:szCs w:val="21"/>
                <w:highlight w:val="none"/>
                <w:lang w:val="en-US" w:eastAsia="zh-CN"/>
              </w:rPr>
              <w:t>；</w:t>
            </w:r>
          </w:p>
          <w:p>
            <w:pPr>
              <w:numPr>
                <w:ilvl w:val="0"/>
                <w:numId w:val="2"/>
              </w:numPr>
              <w:spacing w:line="480" w:lineRule="exact"/>
              <w:ind w:leftChars="0"/>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支持监测TVOC、OU等，并可同时显示温度、湿度、气压指标；</w:t>
            </w:r>
          </w:p>
          <w:p>
            <w:pPr>
              <w:numPr>
                <w:ilvl w:val="0"/>
                <w:numId w:val="2"/>
              </w:numPr>
              <w:spacing w:line="480" w:lineRule="exact"/>
              <w:ind w:leftChars="0"/>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具体参数</w:t>
            </w:r>
            <w:r>
              <w:rPr>
                <w:rFonts w:hint="eastAsia" w:ascii="Times New Roman" w:hAnsi="Times New Roman" w:eastAsia="宋体" w:cs="Times New Roman"/>
                <w:szCs w:val="21"/>
                <w:highlight w:val="none"/>
                <w:lang w:val="en-US" w:eastAsia="zh-CN"/>
              </w:rPr>
              <w:t>：</w:t>
            </w:r>
          </w:p>
          <w:p>
            <w:pPr>
              <w:numPr>
                <w:ilvl w:val="0"/>
                <w:numId w:val="0"/>
              </w:numPr>
              <w:spacing w:line="480" w:lineRule="exact"/>
              <w:rPr>
                <w:rFonts w:hint="eastAsia"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w:t>
            </w:r>
            <w:r>
              <w:rPr>
                <w:rFonts w:hint="eastAsia" w:ascii="Times New Roman" w:hAnsi="Times New Roman" w:cs="Times New Roman"/>
                <w:szCs w:val="21"/>
                <w:highlight w:val="none"/>
                <w:lang w:val="en-US" w:eastAsia="zh-CN"/>
              </w:rPr>
              <w:t>（1）</w:t>
            </w:r>
            <w:r>
              <w:rPr>
                <w:rFonts w:hint="eastAsia" w:ascii="Times New Roman" w:hAnsi="Times New Roman" w:eastAsia="宋体" w:cs="Times New Roman"/>
                <w:szCs w:val="21"/>
                <w:highlight w:val="none"/>
                <w:lang w:val="en-US" w:eastAsia="zh-CN"/>
              </w:rPr>
              <w:t>TVOC：量程0-50ppm，检出限5ppb，重复性＜5%，分辨率~1ppb；</w:t>
            </w:r>
          </w:p>
          <w:p>
            <w:pPr>
              <w:numPr>
                <w:ilvl w:val="0"/>
                <w:numId w:val="0"/>
              </w:numPr>
              <w:spacing w:line="480" w:lineRule="exact"/>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w:t>
            </w:r>
            <w:r>
              <w:rPr>
                <w:rFonts w:hint="eastAsia" w:ascii="Times New Roman" w:hAnsi="Times New Roman" w:cs="Times New Roman"/>
                <w:szCs w:val="21"/>
                <w:highlight w:val="none"/>
                <w:lang w:val="en-US" w:eastAsia="zh-CN"/>
              </w:rPr>
              <w:t>（2）</w:t>
            </w:r>
            <w:r>
              <w:rPr>
                <w:rFonts w:hint="eastAsia" w:ascii="Times New Roman" w:hAnsi="Times New Roman" w:eastAsia="宋体" w:cs="Times New Roman"/>
                <w:szCs w:val="21"/>
                <w:highlight w:val="none"/>
                <w:lang w:val="en-US" w:eastAsia="zh-CN"/>
              </w:rPr>
              <w:t>OU：量程0-10ppm，检出限~0.1ppm，重复性＜5%，分辨率0.01ppm；</w:t>
            </w:r>
          </w:p>
          <w:p>
            <w:pPr>
              <w:numPr>
                <w:ilvl w:val="0"/>
                <w:numId w:val="0"/>
              </w:numPr>
              <w:spacing w:line="480" w:lineRule="exact"/>
              <w:ind w:leftChars="0"/>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w:t>
            </w:r>
            <w:r>
              <w:rPr>
                <w:rFonts w:hint="eastAsia" w:ascii="Times New Roman" w:hAnsi="Times New Roman" w:eastAsia="宋体" w:cs="Times New Roman"/>
                <w:szCs w:val="21"/>
                <w:highlight w:val="none"/>
                <w:lang w:val="en-US" w:eastAsia="zh-CN"/>
              </w:rPr>
              <w:t>.</w:t>
            </w:r>
            <w:r>
              <w:rPr>
                <w:rFonts w:hint="default" w:ascii="Times New Roman" w:hAnsi="Times New Roman" w:eastAsia="宋体" w:cs="Times New Roman"/>
                <w:szCs w:val="21"/>
                <w:highlight w:val="none"/>
                <w:lang w:val="en-US" w:eastAsia="zh-CN"/>
              </w:rPr>
              <w:t>配套平台支持地图轨迹联动渲染，实时同步设备移动路径与数据点位，轨迹可视化效果支持点云图、</w:t>
            </w:r>
            <w:r>
              <w:rPr>
                <w:rFonts w:hint="eastAsia" w:ascii="Times New Roman" w:hAnsi="Times New Roman" w:cs="Times New Roman"/>
                <w:szCs w:val="21"/>
                <w:highlight w:val="none"/>
                <w:lang w:val="en-US" w:eastAsia="zh-CN"/>
              </w:rPr>
              <w:t>正方形或</w:t>
            </w:r>
            <w:r>
              <w:rPr>
                <w:rFonts w:hint="default" w:ascii="Times New Roman" w:hAnsi="Times New Roman" w:eastAsia="宋体" w:cs="Times New Roman"/>
                <w:szCs w:val="21"/>
                <w:highlight w:val="none"/>
                <w:lang w:val="en-US" w:eastAsia="zh-CN"/>
              </w:rPr>
              <w:t>六边形网格图及空气污染物浓度实时变化曲线图，且可动态调节点云半径与网格边长大小，自由切换空间分辨率，</w:t>
            </w:r>
            <w:r>
              <w:rPr>
                <w:rFonts w:hint="eastAsia" w:ascii="Times New Roman" w:hAnsi="Times New Roman" w:cs="Times New Roman"/>
                <w:szCs w:val="21"/>
                <w:highlight w:val="none"/>
                <w:lang w:val="en-US" w:eastAsia="zh-CN"/>
              </w:rPr>
              <w:t>正方形或</w:t>
            </w:r>
            <w:r>
              <w:rPr>
                <w:rFonts w:hint="default" w:ascii="Times New Roman" w:hAnsi="Times New Roman" w:eastAsia="宋体" w:cs="Times New Roman"/>
                <w:szCs w:val="21"/>
                <w:highlight w:val="none"/>
                <w:lang w:val="en-US" w:eastAsia="zh-CN"/>
              </w:rPr>
              <w:t>六边形数据网格内可展示平均值、最大值、最小值等多个数据指标，便于用户进行比对分析提升综合研判能力；</w:t>
            </w:r>
          </w:p>
          <w:p>
            <w:pPr>
              <w:numPr>
                <w:ilvl w:val="0"/>
                <w:numId w:val="0"/>
              </w:numPr>
              <w:spacing w:line="480" w:lineRule="exact"/>
              <w:ind w:leftChars="0"/>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6</w:t>
            </w:r>
            <w:r>
              <w:rPr>
                <w:rFonts w:hint="eastAsia" w:ascii="Times New Roman" w:hAnsi="Times New Roman" w:eastAsia="宋体" w:cs="Times New Roman"/>
                <w:szCs w:val="21"/>
                <w:highlight w:val="none"/>
                <w:lang w:val="en-US" w:eastAsia="zh-CN"/>
              </w:rPr>
              <w:t>.</w:t>
            </w:r>
            <w:r>
              <w:rPr>
                <w:rFonts w:hint="default" w:ascii="Times New Roman" w:hAnsi="Times New Roman" w:eastAsia="宋体" w:cs="Times New Roman"/>
                <w:szCs w:val="21"/>
                <w:highlight w:val="none"/>
                <w:lang w:val="en-US" w:eastAsia="zh-CN"/>
              </w:rPr>
              <w:t>配套平台支持实时数据和历史数据通过单/双/四视图切换展示不同数据情况；</w:t>
            </w:r>
          </w:p>
          <w:p>
            <w:pPr>
              <w:numPr>
                <w:ilvl w:val="0"/>
                <w:numId w:val="0"/>
              </w:numPr>
              <w:spacing w:line="480" w:lineRule="exact"/>
              <w:ind w:leftChars="0"/>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7</w:t>
            </w:r>
            <w:r>
              <w:rPr>
                <w:rFonts w:hint="eastAsia" w:ascii="Times New Roman" w:hAnsi="Times New Roman" w:eastAsia="宋体" w:cs="Times New Roman"/>
                <w:szCs w:val="21"/>
                <w:highlight w:val="none"/>
                <w:lang w:val="en-US" w:eastAsia="zh-CN"/>
              </w:rPr>
              <w:t>.数据</w:t>
            </w:r>
            <w:r>
              <w:rPr>
                <w:rFonts w:hint="default" w:ascii="Times New Roman" w:hAnsi="Times New Roman" w:eastAsia="宋体" w:cs="Times New Roman"/>
                <w:szCs w:val="21"/>
                <w:highlight w:val="none"/>
                <w:lang w:val="en-US" w:eastAsia="zh-CN"/>
              </w:rPr>
              <w:t>展示支持2D</w:t>
            </w:r>
            <w:r>
              <w:rPr>
                <w:rFonts w:hint="eastAsia" w:ascii="Times New Roman" w:hAnsi="Times New Roman" w:cs="Times New Roman"/>
                <w:szCs w:val="21"/>
                <w:highlight w:val="none"/>
                <w:lang w:val="en-US" w:eastAsia="zh-CN"/>
              </w:rPr>
              <w:t>或</w:t>
            </w:r>
            <w:r>
              <w:rPr>
                <w:rFonts w:hint="default" w:ascii="Times New Roman" w:hAnsi="Times New Roman" w:eastAsia="宋体" w:cs="Times New Roman"/>
                <w:szCs w:val="21"/>
                <w:highlight w:val="none"/>
                <w:lang w:val="en-US" w:eastAsia="zh-CN"/>
              </w:rPr>
              <w:t>3D点云、2D</w:t>
            </w:r>
            <w:r>
              <w:rPr>
                <w:rFonts w:hint="eastAsia" w:ascii="Times New Roman" w:hAnsi="Times New Roman" w:cs="Times New Roman"/>
                <w:szCs w:val="21"/>
                <w:highlight w:val="none"/>
                <w:lang w:val="en-US" w:eastAsia="zh-CN"/>
              </w:rPr>
              <w:t>或</w:t>
            </w:r>
            <w:r>
              <w:rPr>
                <w:rFonts w:hint="default" w:ascii="Times New Roman" w:hAnsi="Times New Roman" w:eastAsia="宋体" w:cs="Times New Roman"/>
                <w:szCs w:val="21"/>
                <w:highlight w:val="none"/>
                <w:lang w:val="en-US" w:eastAsia="zh-CN"/>
              </w:rPr>
              <w:t>3D网格、2D</w:t>
            </w:r>
            <w:r>
              <w:rPr>
                <w:rFonts w:hint="eastAsia" w:ascii="Times New Roman" w:hAnsi="Times New Roman" w:cs="Times New Roman"/>
                <w:szCs w:val="21"/>
                <w:highlight w:val="none"/>
                <w:lang w:val="en-US" w:eastAsia="zh-CN"/>
              </w:rPr>
              <w:t>或</w:t>
            </w:r>
            <w:r>
              <w:rPr>
                <w:rFonts w:hint="default" w:ascii="Times New Roman" w:hAnsi="Times New Roman" w:eastAsia="宋体" w:cs="Times New Roman"/>
                <w:szCs w:val="21"/>
                <w:highlight w:val="none"/>
                <w:lang w:val="en-US" w:eastAsia="zh-CN"/>
              </w:rPr>
              <w:t>3D插值</w:t>
            </w:r>
            <w:r>
              <w:rPr>
                <w:rFonts w:hint="eastAsia" w:ascii="Times New Roman" w:hAnsi="Times New Roman" w:eastAsia="宋体" w:cs="Times New Roman"/>
                <w:szCs w:val="21"/>
                <w:highlight w:val="none"/>
                <w:lang w:val="en-US" w:eastAsia="zh-CN"/>
              </w:rPr>
              <w:t>等</w:t>
            </w:r>
            <w:r>
              <w:rPr>
                <w:rFonts w:hint="default" w:ascii="Times New Roman" w:hAnsi="Times New Roman" w:eastAsia="宋体" w:cs="Times New Roman"/>
                <w:szCs w:val="21"/>
                <w:highlight w:val="none"/>
                <w:lang w:val="en-US" w:eastAsia="zh-CN"/>
              </w:rPr>
              <w:t>呈现方式，且折线图数据支持与呈现的可视化数据一一对应显示，便于后续数据分析；</w:t>
            </w:r>
          </w:p>
          <w:p>
            <w:pPr>
              <w:numPr>
                <w:ilvl w:val="0"/>
                <w:numId w:val="0"/>
              </w:numPr>
              <w:spacing w:line="480" w:lineRule="exact"/>
              <w:ind w:leftChars="0"/>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8</w:t>
            </w:r>
            <w:r>
              <w:rPr>
                <w:rFonts w:hint="eastAsia" w:ascii="Times New Roman" w:hAnsi="Times New Roman" w:eastAsia="宋体" w:cs="Times New Roman"/>
                <w:szCs w:val="21"/>
                <w:highlight w:val="none"/>
                <w:lang w:val="en-US" w:eastAsia="zh-CN"/>
              </w:rPr>
              <w:t>.</w:t>
            </w:r>
            <w:r>
              <w:rPr>
                <w:rFonts w:hint="default" w:ascii="Times New Roman" w:hAnsi="Times New Roman" w:eastAsia="宋体" w:cs="Times New Roman"/>
                <w:szCs w:val="21"/>
                <w:highlight w:val="none"/>
                <w:lang w:val="en-US" w:eastAsia="zh-CN"/>
              </w:rPr>
              <w:t>平台支持对历史数据进行自定义区域数据统计，便于用户统计重点关注区域的数据情况，内容包含面积大小、原始数据点数量、最大值、最小值、平均值、中位数</w:t>
            </w:r>
            <w:r>
              <w:rPr>
                <w:rFonts w:hint="eastAsia" w:ascii="Times New Roman" w:hAnsi="Times New Roman" w:eastAsia="宋体" w:cs="Times New Roman"/>
                <w:szCs w:val="21"/>
                <w:highlight w:val="none"/>
                <w:lang w:val="en-US" w:eastAsia="zh-CN"/>
              </w:rPr>
              <w:t>等</w:t>
            </w:r>
            <w:r>
              <w:rPr>
                <w:rFonts w:hint="default" w:ascii="Times New Roman" w:hAnsi="Times New Roman" w:eastAsia="宋体" w:cs="Times New Roman"/>
                <w:szCs w:val="21"/>
                <w:highlight w:val="none"/>
                <w:lang w:val="en-US" w:eastAsia="zh-CN"/>
              </w:rPr>
              <w:t>；</w:t>
            </w:r>
          </w:p>
          <w:p>
            <w:pPr>
              <w:numPr>
                <w:ilvl w:val="0"/>
                <w:numId w:val="0"/>
              </w:numPr>
              <w:spacing w:line="480" w:lineRule="exact"/>
              <w:ind w:leftChars="0"/>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9</w:t>
            </w:r>
            <w:r>
              <w:rPr>
                <w:rFonts w:hint="eastAsia" w:ascii="Times New Roman" w:hAnsi="Times New Roman" w:eastAsia="宋体" w:cs="Times New Roman"/>
                <w:szCs w:val="21"/>
                <w:highlight w:val="none"/>
                <w:lang w:val="en-US" w:eastAsia="zh-CN"/>
              </w:rPr>
              <w:t>.</w:t>
            </w:r>
            <w:r>
              <w:rPr>
                <w:rFonts w:hint="default" w:ascii="Times New Roman" w:hAnsi="Times New Roman" w:eastAsia="宋体" w:cs="Times New Roman"/>
                <w:szCs w:val="21"/>
                <w:highlight w:val="none"/>
                <w:lang w:val="en-US" w:eastAsia="zh-CN"/>
              </w:rPr>
              <w:t>平台具备风场展示功能，支持将实时或历史风场数据叠加至地图视图，帮助用户更直观地判断污染物的传播路径、扩散趋势及可能的影响区域；</w:t>
            </w:r>
          </w:p>
          <w:p>
            <w:pPr>
              <w:numPr>
                <w:ilvl w:val="0"/>
                <w:numId w:val="0"/>
              </w:numPr>
              <w:spacing w:line="480" w:lineRule="exact"/>
              <w:ind w:leftChars="0"/>
              <w:rPr>
                <w:rFonts w:hint="default" w:ascii="Times New Roman" w:hAnsi="Times New Roman" w:eastAsia="等线" w:cs="Times New Roman"/>
                <w:b w:val="0"/>
                <w:bCs w:val="0"/>
                <w:kern w:val="0"/>
                <w:sz w:val="20"/>
                <w:szCs w:val="20"/>
                <w:highlight w:val="none"/>
                <w:lang w:val="en-US" w:eastAsia="zh-CN"/>
              </w:rPr>
            </w:pPr>
            <w:r>
              <w:rPr>
                <w:rFonts w:hint="eastAsia" w:ascii="Times New Roman" w:hAnsi="Times New Roman" w:cs="Times New Roman"/>
                <w:szCs w:val="21"/>
                <w:highlight w:val="none"/>
                <w:lang w:val="en-US" w:eastAsia="zh-CN"/>
              </w:rPr>
              <w:t>10</w:t>
            </w:r>
            <w:r>
              <w:rPr>
                <w:rFonts w:hint="eastAsia" w:ascii="Times New Roman" w:hAnsi="Times New Roman" w:eastAsia="宋体" w:cs="Times New Roman"/>
                <w:szCs w:val="21"/>
                <w:highlight w:val="none"/>
                <w:lang w:val="en-US" w:eastAsia="zh-CN"/>
              </w:rPr>
              <w:t>.</w:t>
            </w:r>
            <w:r>
              <w:rPr>
                <w:rFonts w:hint="default" w:ascii="Times New Roman" w:hAnsi="Times New Roman" w:eastAsia="宋体" w:cs="Times New Roman"/>
                <w:szCs w:val="21"/>
                <w:highlight w:val="none"/>
                <w:lang w:val="en-US" w:eastAsia="zh-CN"/>
              </w:rPr>
              <w:t>平台支持导出PDF/WORD格式气体浓度数据报告，或CSV原始数据表。</w:t>
            </w:r>
          </w:p>
        </w:tc>
      </w:tr>
    </w:tbl>
    <w:p>
      <w:pPr>
        <w:keepNext w:val="0"/>
        <w:keepLines w:val="0"/>
        <w:pageBreakBefore w:val="0"/>
        <w:widowControl/>
        <w:kinsoku/>
        <w:wordWrap/>
        <w:overflowPunct/>
        <w:topLinePunct w:val="0"/>
        <w:autoSpaceDE/>
        <w:autoSpaceDN/>
        <w:bidi w:val="0"/>
        <w:adjustRightInd/>
        <w:snapToGrid/>
        <w:spacing w:line="320" w:lineRule="exact"/>
        <w:jc w:val="both"/>
        <w:textAlignment w:val="baseline"/>
        <w:rPr>
          <w:rFonts w:hint="default" w:ascii="Times New Roman" w:hAnsi="Times New Roman" w:eastAsia="仿宋_GB2312" w:cs="Times New Roman"/>
          <w:spacing w:val="-5"/>
          <w:kern w:val="0"/>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zh-CN" w:eastAsia="zh-CN"/>
        </w:rPr>
      </w:pP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zh-CN" w:eastAsia="zh-CN"/>
        </w:rPr>
      </w:pPr>
    </w:p>
    <w:p>
      <w:pPr>
        <w:rPr>
          <w:rFonts w:hint="default" w:ascii="Times New Roman" w:hAnsi="Times New Roman" w:eastAsia="仿宋_GB2312" w:cs="Times New Roman"/>
          <w:spacing w:val="-5"/>
          <w:kern w:val="0"/>
          <w:sz w:val="24"/>
          <w:szCs w:val="24"/>
          <w:highlight w:val="none"/>
          <w:lang w:val="zh-CN" w:eastAsia="zh-CN"/>
        </w:rPr>
      </w:pPr>
      <w:r>
        <w:rPr>
          <w:rFonts w:hint="default" w:ascii="Times New Roman" w:hAnsi="Times New Roman" w:eastAsia="仿宋_GB2312" w:cs="Times New Roman"/>
          <w:spacing w:val="-5"/>
          <w:kern w:val="0"/>
          <w:sz w:val="24"/>
          <w:szCs w:val="24"/>
          <w:highlight w:val="none"/>
          <w:lang w:val="zh-CN" w:eastAsia="zh-CN"/>
        </w:rPr>
        <w:br w:type="page"/>
      </w: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zh-CN" w:eastAsia="zh-CN"/>
        </w:rPr>
      </w:pP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zh-CN" w:eastAsia="zh-CN"/>
        </w:rPr>
      </w:pPr>
      <w:r>
        <w:rPr>
          <w:rFonts w:hint="default" w:ascii="Times New Roman" w:hAnsi="Times New Roman" w:eastAsia="仿宋_GB2312" w:cs="Times New Roman"/>
          <w:spacing w:val="-5"/>
          <w:kern w:val="0"/>
          <w:sz w:val="24"/>
          <w:szCs w:val="24"/>
          <w:highlight w:val="none"/>
          <w:lang w:val="zh-CN" w:eastAsia="zh-CN"/>
        </w:rPr>
        <w:t>注：</w:t>
      </w: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en-US" w:eastAsia="zh-CN"/>
        </w:rPr>
      </w:pPr>
      <w:r>
        <w:rPr>
          <w:rFonts w:hint="default" w:ascii="Times New Roman" w:hAnsi="Times New Roman" w:eastAsia="仿宋_GB2312" w:cs="Times New Roman"/>
          <w:spacing w:val="-5"/>
          <w:kern w:val="0"/>
          <w:sz w:val="24"/>
          <w:szCs w:val="24"/>
          <w:highlight w:val="none"/>
          <w:lang w:val="zh-CN" w:eastAsia="zh-CN"/>
        </w:rPr>
        <w:t>1、投标人应注意以下响应内容：</w:t>
      </w: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zh-CN" w:eastAsia="zh-CN"/>
        </w:rPr>
      </w:pPr>
      <w:r>
        <w:rPr>
          <w:rFonts w:hint="default" w:ascii="Times New Roman" w:hAnsi="Times New Roman" w:eastAsia="仿宋_GB2312" w:cs="Times New Roman"/>
          <w:spacing w:val="-5"/>
          <w:kern w:val="0"/>
          <w:sz w:val="24"/>
          <w:szCs w:val="24"/>
          <w:highlight w:val="none"/>
          <w:lang w:val="en-US" w:eastAsia="zh-CN"/>
        </w:rPr>
        <w:t>（1</w:t>
      </w:r>
      <w:r>
        <w:rPr>
          <w:rFonts w:hint="default" w:ascii="Times New Roman" w:hAnsi="Times New Roman" w:eastAsia="仿宋_GB2312" w:cs="Times New Roman"/>
          <w:spacing w:val="-5"/>
          <w:kern w:val="0"/>
          <w:sz w:val="24"/>
          <w:szCs w:val="24"/>
          <w:highlight w:val="none"/>
          <w:lang w:val="zh-CN" w:eastAsia="zh-CN"/>
        </w:rPr>
        <w:t>）招标文件条款为本次采购的较重要要求，投标人无法满足或响应时将影响其技术评分。</w:t>
      </w: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zh-CN" w:eastAsia="zh-CN"/>
        </w:rPr>
      </w:pPr>
      <w:r>
        <w:rPr>
          <w:rFonts w:hint="default" w:ascii="Times New Roman" w:hAnsi="Times New Roman" w:eastAsia="仿宋_GB2312" w:cs="Times New Roman"/>
          <w:spacing w:val="-5"/>
          <w:kern w:val="0"/>
          <w:sz w:val="24"/>
          <w:szCs w:val="24"/>
          <w:highlight w:val="none"/>
          <w:lang w:val="zh-CN" w:eastAsia="zh-CN"/>
        </w:rPr>
        <w:t>（</w:t>
      </w:r>
      <w:r>
        <w:rPr>
          <w:rFonts w:hint="default" w:ascii="Times New Roman" w:hAnsi="Times New Roman" w:eastAsia="仿宋_GB2312" w:cs="Times New Roman"/>
          <w:spacing w:val="-5"/>
          <w:kern w:val="0"/>
          <w:sz w:val="24"/>
          <w:szCs w:val="24"/>
          <w:highlight w:val="none"/>
          <w:lang w:val="en-US" w:eastAsia="zh-CN"/>
        </w:rPr>
        <w:t>2</w:t>
      </w:r>
      <w:r>
        <w:rPr>
          <w:rFonts w:hint="default" w:ascii="Times New Roman" w:hAnsi="Times New Roman" w:eastAsia="仿宋_GB2312" w:cs="Times New Roman"/>
          <w:spacing w:val="-5"/>
          <w:kern w:val="0"/>
          <w:sz w:val="24"/>
          <w:szCs w:val="24"/>
          <w:highlight w:val="none"/>
          <w:lang w:val="zh-CN" w:eastAsia="zh-CN"/>
        </w:rPr>
        <w:t>）投标人在响应投标方案中应尽量列出具体参数或作出详细应答。如果投标人只简单注明“符合”或“满足”，将影响投标人技术商务评分。投标人须在投标文件中填写/应答技术规格参数，当投标文件中技术参数与招标文件中技术参数有偏离时，须在“偏离”栏内如实注明是“正偏离”或“负偏离”，“正偏离”指投标设备的技术参数优于招标文件中要求，“负偏离”指投标设备的技术参数低于招标文件中要求。投标文件中的技术参数、功能或其它内容优于要求的不视作负偏离，不构成无效投标条件，但投标人须对这种优于要求的情况单独作出说明。存在学术争议的内容不视为正偏离。</w:t>
      </w: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zh-CN" w:eastAsia="zh-CN"/>
        </w:rPr>
      </w:pPr>
      <w:r>
        <w:rPr>
          <w:rFonts w:hint="default" w:ascii="Times New Roman" w:hAnsi="Times New Roman" w:eastAsia="仿宋_GB2312" w:cs="Times New Roman"/>
          <w:spacing w:val="-5"/>
          <w:kern w:val="0"/>
          <w:sz w:val="24"/>
          <w:szCs w:val="24"/>
          <w:highlight w:val="none"/>
          <w:lang w:val="zh-CN" w:eastAsia="zh-CN"/>
        </w:rPr>
        <w:t>2、投标人须承诺提供厂商原装、全新的、符合国家及用户提出的有关质量标准的设备。</w:t>
      </w: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zh-CN" w:eastAsia="zh-CN"/>
        </w:rPr>
      </w:pPr>
      <w:r>
        <w:rPr>
          <w:rFonts w:hint="default" w:ascii="Times New Roman" w:hAnsi="Times New Roman" w:eastAsia="仿宋_GB2312" w:cs="Times New Roman"/>
          <w:spacing w:val="-5"/>
          <w:kern w:val="0"/>
          <w:sz w:val="24"/>
          <w:szCs w:val="24"/>
          <w:highlight w:val="none"/>
          <w:lang w:val="zh-CN" w:eastAsia="zh-CN"/>
        </w:rPr>
        <w:t>3、投标人应对用户需求书中的设备性能和技术指标在响应详细内容中列出具体数值或明确承诺。如果投标人只注明“正偏离”或“无偏离”，将被视为“负偏离”，从而可能导致严重影响评标结果。</w:t>
      </w: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zh-CN" w:eastAsia="zh-CN"/>
        </w:rPr>
      </w:pPr>
      <w:r>
        <w:rPr>
          <w:rFonts w:hint="default" w:ascii="Times New Roman" w:hAnsi="Times New Roman" w:eastAsia="仿宋_GB2312" w:cs="Times New Roman"/>
          <w:spacing w:val="-5"/>
          <w:kern w:val="0"/>
          <w:sz w:val="24"/>
          <w:szCs w:val="24"/>
          <w:highlight w:val="none"/>
          <w:lang w:val="zh-CN" w:eastAsia="zh-CN"/>
        </w:rPr>
        <w:t>4、投标人所投产品除招标文件中明确规定要求提供彩页或相应检测（技术）报告等证明材料以外，所有技术参数描述均以投标文件为准（投标文件内厂家提供的技术参数描述与投标人投标技术参数描述不一致时，以厂家提供的技术参数描述为准）。投标人须对所投产品技术参数的真实性承担法律责任。</w:t>
      </w: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zh-CN" w:eastAsia="zh-CN"/>
        </w:rPr>
      </w:pPr>
      <w:r>
        <w:rPr>
          <w:rFonts w:hint="default" w:ascii="Times New Roman" w:hAnsi="Times New Roman" w:eastAsia="仿宋_GB2312" w:cs="Times New Roman"/>
          <w:spacing w:val="-5"/>
          <w:kern w:val="0"/>
          <w:sz w:val="24"/>
          <w:szCs w:val="24"/>
          <w:highlight w:val="none"/>
          <w:lang w:val="zh-CN" w:eastAsia="zh-CN"/>
        </w:rPr>
        <w:t>5、涉及到软件产品的，须采购和使用正版软件</w:t>
      </w:r>
      <w:bookmarkStart w:id="0" w:name="_GoBack"/>
      <w:bookmarkEnd w:id="0"/>
      <w:r>
        <w:rPr>
          <w:rFonts w:hint="default" w:ascii="Times New Roman" w:hAnsi="Times New Roman" w:eastAsia="仿宋_GB2312" w:cs="Times New Roman"/>
          <w:spacing w:val="-5"/>
          <w:kern w:val="0"/>
          <w:sz w:val="24"/>
          <w:szCs w:val="24"/>
          <w:highlight w:val="none"/>
          <w:lang w:val="zh-CN" w:eastAsia="zh-CN"/>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zh-CN" w:eastAsia="zh-CN"/>
        </w:rPr>
      </w:pPr>
      <w:r>
        <w:rPr>
          <w:rFonts w:hint="default" w:ascii="Times New Roman" w:hAnsi="Times New Roman" w:eastAsia="仿宋_GB2312" w:cs="Times New Roman"/>
          <w:spacing w:val="-5"/>
          <w:kern w:val="0"/>
          <w:sz w:val="24"/>
          <w:szCs w:val="24"/>
          <w:highlight w:val="none"/>
          <w:lang w:val="zh-CN" w:eastAsia="zh-CN"/>
        </w:rPr>
        <w:t>6、投标人没有在投标文件中注明偏离（文字说明或在响应表注明）的参数、配置、条款视为被投标人完全接受。</w:t>
      </w: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zh-CN" w:eastAsia="zh-CN"/>
        </w:rPr>
      </w:pPr>
      <w:r>
        <w:rPr>
          <w:rFonts w:hint="default" w:ascii="Times New Roman" w:hAnsi="Times New Roman" w:eastAsia="仿宋_GB2312" w:cs="Times New Roman"/>
          <w:spacing w:val="-5"/>
          <w:kern w:val="0"/>
          <w:sz w:val="24"/>
          <w:szCs w:val="24"/>
          <w:highlight w:val="none"/>
          <w:lang w:val="zh-CN" w:eastAsia="zh-CN"/>
        </w:rPr>
        <w:t>7、投标人应保证，采购人在中华人民共和国使用该货物或货物的任何一部分时，免受第三方提出的侵犯其专利权、商标权、著作权或其它知识产权的起诉。</w:t>
      </w: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zh-CN" w:eastAsia="zh-CN"/>
        </w:rPr>
      </w:pPr>
      <w:r>
        <w:rPr>
          <w:rFonts w:hint="default" w:ascii="Times New Roman" w:hAnsi="Times New Roman" w:eastAsia="仿宋_GB2312" w:cs="Times New Roman"/>
          <w:spacing w:val="-5"/>
          <w:kern w:val="0"/>
          <w:sz w:val="24"/>
          <w:szCs w:val="24"/>
          <w:highlight w:val="none"/>
          <w:lang w:val="en-US" w:eastAsia="zh-CN"/>
        </w:rPr>
        <w:t>8</w:t>
      </w:r>
      <w:r>
        <w:rPr>
          <w:rFonts w:hint="default" w:ascii="Times New Roman" w:hAnsi="Times New Roman" w:eastAsia="仿宋_GB2312" w:cs="Times New Roman"/>
          <w:spacing w:val="-5"/>
          <w:kern w:val="0"/>
          <w:sz w:val="24"/>
          <w:szCs w:val="24"/>
          <w:highlight w:val="none"/>
          <w:lang w:val="zh-CN" w:eastAsia="zh-CN"/>
        </w:rPr>
        <w:t>、投标报价包括：货款、设计、安装、随机零配件、标配工具、运输、保险、包装、调试、验收、培训、售后服务、运维服务、质量保证期服务、各项税费及合同实施过程中不可预见费用等。</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楷体_GBK">
    <w:panose1 w:val="02000000000000000000"/>
    <w:charset w:val="86"/>
    <w:family w:val="auto"/>
    <w:pitch w:val="default"/>
    <w:sig w:usb0="00000001" w:usb1="08000000" w:usb2="00000000" w:usb3="00000000" w:csb0="00040000" w:csb1="00000000"/>
  </w:font>
  <w:font w:name="Noto Sans CJK SC Regular">
    <w:altName w:val="思源黑体"/>
    <w:panose1 w:val="020B0500000000000000"/>
    <w:charset w:val="86"/>
    <w:family w:val="auto"/>
    <w:pitch w:val="default"/>
    <w:sig w:usb0="00000000" w:usb1="00000000" w:usb2="00000016" w:usb3="00000000" w:csb0="602E0107" w:csb1="00000000"/>
  </w:font>
  <w:font w:name="思源黑体">
    <w:panose1 w:val="020B0500000000000000"/>
    <w:charset w:val="86"/>
    <w:family w:val="auto"/>
    <w:pitch w:val="default"/>
    <w:sig w:usb0="30000083" w:usb1="2BDF3C10" w:usb2="00000016" w:usb3="00000000" w:csb0="602E0107"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55A3D"/>
    <w:multiLevelType w:val="singleLevel"/>
    <w:tmpl w:val="5FF55A3D"/>
    <w:lvl w:ilvl="0" w:tentative="0">
      <w:start w:val="2"/>
      <w:numFmt w:val="decimal"/>
      <w:lvlText w:val="%1."/>
      <w:lvlJc w:val="left"/>
      <w:pPr>
        <w:tabs>
          <w:tab w:val="left" w:pos="312"/>
        </w:tabs>
      </w:pPr>
    </w:lvl>
  </w:abstractNum>
  <w:abstractNum w:abstractNumId="1">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1FFB731"/>
    <w:rsid w:val="12F017DE"/>
    <w:rsid w:val="1CB31A88"/>
    <w:rsid w:val="1DFE6FB2"/>
    <w:rsid w:val="1F1FC43C"/>
    <w:rsid w:val="1F511CA1"/>
    <w:rsid w:val="1FF3A214"/>
    <w:rsid w:val="27AF1E9D"/>
    <w:rsid w:val="27F74992"/>
    <w:rsid w:val="2BF2B967"/>
    <w:rsid w:val="2BFEF74F"/>
    <w:rsid w:val="2FE8DAF1"/>
    <w:rsid w:val="2FFF1466"/>
    <w:rsid w:val="33FF0FAD"/>
    <w:rsid w:val="37C750A8"/>
    <w:rsid w:val="39FFB3B5"/>
    <w:rsid w:val="3E31E310"/>
    <w:rsid w:val="3EED8DBA"/>
    <w:rsid w:val="3F7D9CA4"/>
    <w:rsid w:val="3F9F3665"/>
    <w:rsid w:val="3FDF0B67"/>
    <w:rsid w:val="457B8617"/>
    <w:rsid w:val="473F8AED"/>
    <w:rsid w:val="497FEC9E"/>
    <w:rsid w:val="4A1947CF"/>
    <w:rsid w:val="4B750168"/>
    <w:rsid w:val="4EFBAAE5"/>
    <w:rsid w:val="4FFD620D"/>
    <w:rsid w:val="54FA228A"/>
    <w:rsid w:val="56CB3706"/>
    <w:rsid w:val="57371781"/>
    <w:rsid w:val="58ED47BA"/>
    <w:rsid w:val="5BBE3EBD"/>
    <w:rsid w:val="5BFF0E6F"/>
    <w:rsid w:val="5EF8A2B1"/>
    <w:rsid w:val="5FFF62BA"/>
    <w:rsid w:val="676AF034"/>
    <w:rsid w:val="67F6ED20"/>
    <w:rsid w:val="6DF44F00"/>
    <w:rsid w:val="6EF529EF"/>
    <w:rsid w:val="6F2F64AE"/>
    <w:rsid w:val="6FAEA39B"/>
    <w:rsid w:val="709A3070"/>
    <w:rsid w:val="72BD0035"/>
    <w:rsid w:val="73FFC61E"/>
    <w:rsid w:val="75FB6A43"/>
    <w:rsid w:val="7639B482"/>
    <w:rsid w:val="76B06FB4"/>
    <w:rsid w:val="77AA7745"/>
    <w:rsid w:val="77BB7046"/>
    <w:rsid w:val="77FD8B69"/>
    <w:rsid w:val="785972B2"/>
    <w:rsid w:val="78E63D39"/>
    <w:rsid w:val="79DA1B64"/>
    <w:rsid w:val="7AE7DE10"/>
    <w:rsid w:val="7AEFB225"/>
    <w:rsid w:val="7B6FEAD2"/>
    <w:rsid w:val="7B7FD36B"/>
    <w:rsid w:val="7B87BDD5"/>
    <w:rsid w:val="7BB7FE12"/>
    <w:rsid w:val="7BFF891E"/>
    <w:rsid w:val="7CFD2383"/>
    <w:rsid w:val="7D0E8C59"/>
    <w:rsid w:val="7D3F1949"/>
    <w:rsid w:val="7D5E2D16"/>
    <w:rsid w:val="7DEF35ED"/>
    <w:rsid w:val="7EFE75FF"/>
    <w:rsid w:val="7F2F65BC"/>
    <w:rsid w:val="7F6EA8D5"/>
    <w:rsid w:val="7F7F1DDB"/>
    <w:rsid w:val="7F9FE125"/>
    <w:rsid w:val="7FDA7EE0"/>
    <w:rsid w:val="7FEF7B4B"/>
    <w:rsid w:val="7FEFB0D7"/>
    <w:rsid w:val="7FFBAC6F"/>
    <w:rsid w:val="9B7F19BB"/>
    <w:rsid w:val="9F5B2ACF"/>
    <w:rsid w:val="9FFFF2D0"/>
    <w:rsid w:val="AB1AE426"/>
    <w:rsid w:val="AEF3759A"/>
    <w:rsid w:val="B5E56301"/>
    <w:rsid w:val="BBAF8124"/>
    <w:rsid w:val="BBED17A6"/>
    <w:rsid w:val="BDFD4B44"/>
    <w:rsid w:val="BF4F14A7"/>
    <w:rsid w:val="BF7289F1"/>
    <w:rsid w:val="BF7AE4B6"/>
    <w:rsid w:val="BF7ECD0B"/>
    <w:rsid w:val="BFB5F666"/>
    <w:rsid w:val="BFCDFEA2"/>
    <w:rsid w:val="BFFD1307"/>
    <w:rsid w:val="CD532D25"/>
    <w:rsid w:val="CEDFB334"/>
    <w:rsid w:val="D1BD61FE"/>
    <w:rsid w:val="D7BF52E2"/>
    <w:rsid w:val="D7DDA11F"/>
    <w:rsid w:val="D87FD6CF"/>
    <w:rsid w:val="DB430CBF"/>
    <w:rsid w:val="DB7EE471"/>
    <w:rsid w:val="DCFE3CD6"/>
    <w:rsid w:val="DD6754DA"/>
    <w:rsid w:val="DFFA4FC3"/>
    <w:rsid w:val="DFFF71CB"/>
    <w:rsid w:val="E5FFCC91"/>
    <w:rsid w:val="E7FA81BF"/>
    <w:rsid w:val="EDDE04B0"/>
    <w:rsid w:val="EF3F498B"/>
    <w:rsid w:val="EF657C36"/>
    <w:rsid w:val="EFCFE634"/>
    <w:rsid w:val="EFDB768E"/>
    <w:rsid w:val="F5FF0F01"/>
    <w:rsid w:val="F5FF8B99"/>
    <w:rsid w:val="F7DDD0B3"/>
    <w:rsid w:val="F7DF2C12"/>
    <w:rsid w:val="F7EDA1C1"/>
    <w:rsid w:val="F7F59BC2"/>
    <w:rsid w:val="F7FD37B3"/>
    <w:rsid w:val="F97F63BF"/>
    <w:rsid w:val="FAF9F6CC"/>
    <w:rsid w:val="FB72F4C6"/>
    <w:rsid w:val="FBDF9348"/>
    <w:rsid w:val="FD5F4987"/>
    <w:rsid w:val="FD7FFC82"/>
    <w:rsid w:val="FDF2AB8C"/>
    <w:rsid w:val="FE8EA6D9"/>
    <w:rsid w:val="FEFB2E4A"/>
    <w:rsid w:val="FF0FCCB6"/>
    <w:rsid w:val="FF2DCA6A"/>
    <w:rsid w:val="FF72F16E"/>
    <w:rsid w:val="FF7363A1"/>
    <w:rsid w:val="FF7B1D5D"/>
    <w:rsid w:val="FFAF9FE3"/>
    <w:rsid w:val="FFB7B8B9"/>
    <w:rsid w:val="FFBF011A"/>
    <w:rsid w:val="FFE785C9"/>
    <w:rsid w:val="FFE7977F"/>
    <w:rsid w:val="FFE7A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eastAsia="黑体"/>
      <w:bCs/>
      <w:kern w:val="44"/>
      <w:sz w:val="30"/>
      <w:szCs w:val="4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afterLines="0" w:afterAutospacing="0"/>
    </w:pPr>
  </w:style>
  <w:style w:type="paragraph" w:customStyle="1" w:styleId="5">
    <w:name w:val="引用1"/>
    <w:basedOn w:val="1"/>
    <w:next w:val="1"/>
    <w:qFormat/>
    <w:uiPriority w:val="0"/>
    <w:rPr>
      <w:rFonts w:ascii="Calibri" w:hAnsi="Calibri" w:cs="宋体"/>
      <w:i/>
      <w:color w:val="000000"/>
      <w:kern w:val="0"/>
      <w:sz w:val="20"/>
      <w:szCs w:val="20"/>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2">
    <w:name w:val="Table Paragraph"/>
    <w:basedOn w:val="1"/>
    <w:qFormat/>
    <w:uiPriority w:val="1"/>
    <w:pPr>
      <w:spacing w:before="18"/>
      <w:ind w:left="38"/>
    </w:pPr>
  </w:style>
  <w:style w:type="paragraph" w:customStyle="1" w:styleId="13">
    <w:name w:val="标题和内容~LT~Gliederung 1"/>
    <w:basedOn w:val="1"/>
    <w:semiHidden/>
    <w:qFormat/>
    <w:uiPriority w:val="0"/>
    <w:pPr>
      <w:autoSpaceDE w:val="0"/>
      <w:autoSpaceDN w:val="0"/>
      <w:adjustRightInd w:val="0"/>
      <w:jc w:val="left"/>
    </w:pPr>
    <w:rPr>
      <w:rFonts w:ascii="Noto Sans CJK SC Regular" w:hAnsi="Noto Sans CJK SC Regular" w:eastAsia="宋体" w:cs="宋体"/>
      <w:color w:val="000000"/>
      <w:sz w:val="56"/>
      <w:szCs w:val="5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28</TotalTime>
  <ScaleCrop>false</ScaleCrop>
  <LinksUpToDate>false</LinksUpToDate>
  <CharactersWithSpaces>0</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2018-07-21T23:11:00Z</dcterms:created>
  <dc:creator>Administrator</dc:creator>
  <cp:lastModifiedBy>uos</cp:lastModifiedBy>
  <cp:lastPrinted>2026-05-15T00:37:00Z</cp:lastPrinted>
  <dcterms:modified xsi:type="dcterms:W3CDTF">2026-05-20T09:15:39Z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35C3366A427F5E9F86B92D6662A5D783</vt:lpwstr>
  </property>
</Properties>
</file>