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BE924">
      <w:pPr>
        <w:widowControl/>
        <w:shd w:val="clear" w:color="auto" w:fill="FFFFFF"/>
        <w:spacing w:line="560" w:lineRule="exact"/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</w:rPr>
        <w:t>附表</w:t>
      </w: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  <w:t>1</w:t>
      </w:r>
    </w:p>
    <w:p w14:paraId="5DDA4181">
      <w:pPr>
        <w:spacing w:line="580" w:lineRule="exact"/>
        <w:ind w:left="34" w:leftChars="16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年-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8</w:t>
      </w:r>
      <w:r>
        <w:rPr>
          <w:rFonts w:hint="eastAsia" w:ascii="宋体" w:hAnsi="宋体"/>
          <w:b/>
          <w:sz w:val="36"/>
          <w:szCs w:val="36"/>
        </w:rPr>
        <w:t>年公务用车定点维修服务采购项目</w:t>
      </w:r>
    </w:p>
    <w:p w14:paraId="6B1BFF7D">
      <w:pPr>
        <w:spacing w:line="580" w:lineRule="exact"/>
        <w:ind w:left="34" w:leftChars="16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综合评分标准</w:t>
      </w:r>
    </w:p>
    <w:tbl>
      <w:tblPr>
        <w:tblStyle w:val="2"/>
        <w:tblW w:w="10026" w:type="dxa"/>
        <w:jc w:val="center"/>
        <w:tblLayout w:type="fixed"/>
        <w:tblCellMar>
          <w:top w:w="0" w:type="dxa"/>
          <w:left w:w="108" w:type="dxa"/>
          <w:bottom w:w="67" w:type="dxa"/>
          <w:right w:w="0" w:type="dxa"/>
        </w:tblCellMar>
      </w:tblPr>
      <w:tblGrid>
        <w:gridCol w:w="513"/>
        <w:gridCol w:w="1140"/>
        <w:gridCol w:w="7320"/>
        <w:gridCol w:w="1053"/>
      </w:tblGrid>
      <w:tr w14:paraId="259069D5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D470"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10AF"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评价项目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913C">
            <w:pPr>
              <w:widowControl/>
              <w:spacing w:line="400" w:lineRule="exact"/>
              <w:ind w:right="107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评价标准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00A2">
            <w:pPr>
              <w:widowControl/>
              <w:spacing w:line="4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单项分数（分）</w:t>
            </w:r>
          </w:p>
        </w:tc>
      </w:tr>
      <w:tr w14:paraId="7FB4603A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2C48">
            <w:pPr>
              <w:widowControl/>
              <w:spacing w:line="360" w:lineRule="exact"/>
              <w:ind w:right="108"/>
              <w:jc w:val="center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A9FD">
            <w:pPr>
              <w:widowControl/>
              <w:spacing w:line="360" w:lineRule="exact"/>
              <w:ind w:right="108"/>
              <w:jc w:val="center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</w:rPr>
              <w:t>经营业绩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676B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近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三年内（自2023年1月1日起至投标截止日止，以合同签订时间为准）：</w:t>
            </w:r>
          </w:p>
          <w:p w14:paraId="5361A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highlight w:val="none"/>
                <w:lang w:val="en-US" w:eastAsia="zh-CN" w:bidi="ar"/>
              </w:rPr>
              <w:t>具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highlight w:val="none"/>
                <w:lang w:val="en-US" w:eastAsia="zh-CN"/>
              </w:rPr>
              <w:t>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highlight w:val="none"/>
                <w:lang w:val="en-US" w:eastAsia="zh-CN"/>
              </w:rPr>
              <w:t>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highlight w:val="none"/>
                <w:lang w:val="en-US" w:eastAsia="zh-CN"/>
              </w:rPr>
              <w:t>事业单位车辆维修业绩案例的，以客户为单位，每提供1个服务客户单位业绩案例得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highlight w:val="none"/>
                <w:lang w:val="en-US" w:eastAsia="zh-CN"/>
              </w:rPr>
              <w:t>分，最高得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highlight w:val="none"/>
                <w:lang w:val="en-US" w:eastAsia="zh-CN"/>
              </w:rPr>
              <w:t>分。</w:t>
            </w:r>
          </w:p>
          <w:p w14:paraId="712BF260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服务供应商须附业绩合同关键页复印件或中标通知书复印件，不提供相关证明不得分。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4708">
            <w:pPr>
              <w:widowControl/>
              <w:spacing w:line="360" w:lineRule="exact"/>
              <w:ind w:right="110"/>
              <w:jc w:val="center"/>
              <w:rPr>
                <w:rFonts w:hint="default" w:ascii="宋体" w:hAnsi="宋体" w:eastAsiaTheme="minorEastAsia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10</w:t>
            </w:r>
          </w:p>
        </w:tc>
      </w:tr>
      <w:tr w14:paraId="05A7F23C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727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FE93">
            <w:pPr>
              <w:widowControl/>
              <w:spacing w:line="360" w:lineRule="exact"/>
              <w:ind w:right="108"/>
              <w:jc w:val="center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5660">
            <w:pPr>
              <w:widowControl/>
              <w:spacing w:line="360" w:lineRule="exact"/>
              <w:ind w:right="108"/>
              <w:jc w:val="center"/>
              <w:rPr>
                <w:rStyle w:val="4"/>
                <w:rFonts w:hint="eastAsia" w:cs="宋体"/>
                <w:szCs w:val="30"/>
                <w:highlight w:val="none"/>
              </w:rPr>
            </w:pPr>
            <w:r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  <w:lang w:eastAsia="zh-CN"/>
              </w:rPr>
              <w:t>维修设备配备</w:t>
            </w:r>
            <w:r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</w:rPr>
              <w:t>情况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CE68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根据投标人的维修设备配备情况进行评审，包括维修设备的数量、种类、仓库备件情况等。</w:t>
            </w:r>
          </w:p>
          <w:p w14:paraId="07870782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1、维修设备齐全、仓库备件充足，满足项目实施需要，有利于保障项目实施的，得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分；</w:t>
            </w:r>
          </w:p>
          <w:p w14:paraId="6D5C7580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2、维修设备较齐全、仓库备件较充足，较满足项目实施需要，较有利于保障项目实施的，得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分；</w:t>
            </w:r>
          </w:p>
          <w:p w14:paraId="1160FD1B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3、维修设备不齐全、仓库备件不充足，不满足项目实施需要，不利于保障项目实施的，得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分。</w:t>
            </w:r>
          </w:p>
          <w:p w14:paraId="241065B2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未配备设备的不得分。</w:t>
            </w:r>
          </w:p>
          <w:p w14:paraId="361E63EB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服务供应商需提供设备发票（或租赁合同（若租赁））复印件或设备实物照片、仓库备件现场照片等相关证明文件，并加盖投标人单位公章。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5E7B">
            <w:pPr>
              <w:widowControl/>
              <w:spacing w:line="360" w:lineRule="exact"/>
              <w:ind w:right="110"/>
              <w:jc w:val="center"/>
              <w:rPr>
                <w:rFonts w:hint="default" w:ascii="宋体" w:hAnsi="宋体" w:cs="Helvetica" w:eastAsiaTheme="minorEastAsia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25</w:t>
            </w:r>
          </w:p>
        </w:tc>
      </w:tr>
      <w:tr w14:paraId="27AC14F0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93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D342">
            <w:pPr>
              <w:widowControl/>
              <w:spacing w:line="360" w:lineRule="exact"/>
              <w:ind w:right="108"/>
              <w:jc w:val="center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9F8F">
            <w:pPr>
              <w:widowControl/>
              <w:spacing w:line="360" w:lineRule="exact"/>
              <w:ind w:right="108"/>
              <w:jc w:val="center"/>
              <w:rPr>
                <w:rStyle w:val="4"/>
                <w:rFonts w:hint="eastAsia" w:cs="宋体"/>
                <w:szCs w:val="30"/>
                <w:highlight w:val="none"/>
              </w:rPr>
            </w:pPr>
            <w:r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  <w:lang w:eastAsia="zh-CN"/>
              </w:rPr>
              <w:t>总体服务及紧急救援</w:t>
            </w:r>
            <w:r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</w:rPr>
              <w:t>方案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C34A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根据投标人提供的总体服务方案进行评审，包括总体服务方案是否详细、可行、合理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、响应时间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等。</w:t>
            </w:r>
          </w:p>
          <w:p w14:paraId="155AA9EF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方案详细、可行、合理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、响应快速，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满足项目需求，符合项目实际情况，有利于项目组织实施的，得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分；</w:t>
            </w:r>
          </w:p>
          <w:p w14:paraId="6C1DC665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方案较详细、较可行、较合理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、响应较快速，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较满足项目需求，较符合项目实际情况，较有利于项目组织实施的，得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分；</w:t>
            </w:r>
          </w:p>
          <w:p w14:paraId="0A467CCC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方案不详细、不可行、不合理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、响应较慢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，不满足项目需求，不符合项目实际情况，不利于项目组织实施的，得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分。</w:t>
            </w:r>
          </w:p>
          <w:p w14:paraId="074CB9B9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服务供应商未提供相关方案的不得分。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968E">
            <w:pPr>
              <w:widowControl/>
              <w:spacing w:line="360" w:lineRule="exact"/>
              <w:ind w:right="110"/>
              <w:jc w:val="center"/>
              <w:rPr>
                <w:rFonts w:hint="default" w:ascii="宋体" w:hAnsi="宋体" w:eastAsiaTheme="minorEastAsia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25</w:t>
            </w:r>
          </w:p>
        </w:tc>
      </w:tr>
      <w:tr w14:paraId="1CE9875E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8BC3">
            <w:pPr>
              <w:widowControl/>
              <w:spacing w:line="360" w:lineRule="exact"/>
              <w:ind w:right="108"/>
              <w:jc w:val="center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B166">
            <w:pPr>
              <w:widowControl/>
              <w:spacing w:line="360" w:lineRule="exact"/>
              <w:ind w:right="108"/>
              <w:jc w:val="center"/>
              <w:rPr>
                <w:rStyle w:val="4"/>
                <w:rFonts w:hint="eastAsia" w:cs="宋体" w:eastAsiaTheme="minorEastAsia"/>
                <w:b w:val="0"/>
                <w:szCs w:val="30"/>
                <w:lang w:eastAsia="zh-CN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30"/>
                <w:lang w:eastAsia="zh-CN"/>
              </w:rPr>
              <w:t>负责人情况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7819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负责人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持有一级《职业资格证书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（汽车维修工）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》的，得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持有二级《职业资格证书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（汽车维修工）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》的，得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。</w:t>
            </w:r>
          </w:p>
          <w:p w14:paraId="4D2A4DF9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负责人持有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由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广东省交通厅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颁发的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《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汽车维修质量总检验员证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》的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，得2分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。</w:t>
            </w:r>
          </w:p>
          <w:p w14:paraId="53D7F0DB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服务供应商需提供上述相关证书以及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该项目开标前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3个月中任意1个月的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社保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证明材料，不提供相关证明不得分。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0E8B">
            <w:pPr>
              <w:widowControl/>
              <w:spacing w:line="360" w:lineRule="exact"/>
              <w:ind w:right="110"/>
              <w:jc w:val="center"/>
              <w:rPr>
                <w:rFonts w:hint="default" w:ascii="宋体" w:hAnsi="宋体" w:cs="Helvetica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</w:tr>
      <w:tr w14:paraId="7DEBA559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022C">
            <w:pPr>
              <w:widowControl/>
              <w:spacing w:line="360" w:lineRule="exact"/>
              <w:ind w:right="108"/>
              <w:jc w:val="center"/>
              <w:rPr>
                <w:rFonts w:hint="default" w:ascii="宋体" w:hAnsi="宋体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7BE0">
            <w:pPr>
              <w:widowControl/>
              <w:spacing w:line="360" w:lineRule="exact"/>
              <w:ind w:right="108" w:rightChars="0"/>
              <w:jc w:val="center"/>
              <w:rPr>
                <w:rFonts w:hint="eastAsia" w:cs="宋体" w:asciiTheme="minorHAnsi" w:hAnsiTheme="minorHAnsi" w:eastAsiaTheme="minorEastAsia"/>
                <w:b w:val="0"/>
                <w:bCs/>
                <w:kern w:val="2"/>
                <w:sz w:val="21"/>
                <w:szCs w:val="30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cs="宋体"/>
                <w:sz w:val="24"/>
                <w:szCs w:val="30"/>
              </w:rPr>
              <w:t>技术人员情况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8297">
            <w:pPr>
              <w:widowControl/>
              <w:spacing w:line="360" w:lineRule="exact"/>
              <w:ind w:right="108" w:firstLine="470" w:firstLineChars="196"/>
              <w:rPr>
                <w:rFonts w:hint="default" w:ascii="宋体" w:hAnsi="宋体" w:cs="Helvetica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维修人员持有二级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及以上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《职业资格证书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（汽车维修工）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》的，每1人得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分；持有三级《职业资格证书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（汽车维修工）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》的，每1人得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分；持有四级《职业资格证书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（汽车维修工）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》的，每1人得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分。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最高得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9分</w:t>
            </w:r>
          </w:p>
          <w:p w14:paraId="75CCA3FC">
            <w:pPr>
              <w:widowControl/>
              <w:spacing w:line="360" w:lineRule="exact"/>
              <w:ind w:right="108" w:firstLine="470" w:firstLineChars="196"/>
              <w:rPr>
                <w:rFonts w:ascii="宋体" w:hAnsi="宋体" w:cs="Helvetic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2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技术人员持有由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广东省交通厅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颁发的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《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汽车维修质量检验员证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》的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，每1人得1分，最高得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分。</w:t>
            </w:r>
            <w:r>
              <w:rPr>
                <w:rFonts w:ascii="宋体" w:hAnsi="宋体" w:cs="Helvetica"/>
                <w:color w:val="000000"/>
                <w:kern w:val="0"/>
                <w:sz w:val="24"/>
              </w:rPr>
              <w:t xml:space="preserve"> </w:t>
            </w:r>
          </w:p>
          <w:p w14:paraId="4894F2A4">
            <w:pPr>
              <w:widowControl/>
              <w:spacing w:line="360" w:lineRule="exact"/>
              <w:ind w:right="108" w:rightChars="0" w:firstLine="470" w:firstLineChars="196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服务供应商需提供上述相关证书以及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该项目开标前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3个月中任意1个月的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lang w:eastAsia="zh-CN"/>
              </w:rPr>
              <w:t>社保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证明材料，不提供相关证明不得分。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5220">
            <w:pPr>
              <w:widowControl/>
              <w:spacing w:line="360" w:lineRule="exact"/>
              <w:ind w:right="110" w:rightChars="0"/>
              <w:jc w:val="center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</w:rPr>
              <w:t>0</w:t>
            </w:r>
          </w:p>
        </w:tc>
      </w:tr>
      <w:tr w14:paraId="0AD8EEFD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027B">
            <w:pPr>
              <w:widowControl/>
              <w:spacing w:line="360" w:lineRule="exact"/>
              <w:ind w:right="108"/>
              <w:jc w:val="center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7BB9">
            <w:pPr>
              <w:widowControl/>
              <w:spacing w:line="360" w:lineRule="exact"/>
              <w:ind w:right="108"/>
              <w:jc w:val="center"/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</w:rPr>
            </w:pPr>
            <w:r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</w:rPr>
              <w:t>工时费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5E45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服务供应商需提供维修服务的工时费，投报最低价者得分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分，其余投标者价格分数=（最低价/投标价格）×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（备注：计算过程及结果数字保留两位小数）。对符合规定的小型和微型企业（监狱企业、残疾人福利单位视同小型、微型企业）报价给予10%的价格扣除。</w:t>
            </w:r>
          </w:p>
          <w:p w14:paraId="3B80DAE3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服务供应商未提供相关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报价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的不得分。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5C37">
            <w:pPr>
              <w:widowControl/>
              <w:spacing w:line="360" w:lineRule="exact"/>
              <w:ind w:right="110"/>
              <w:jc w:val="center"/>
              <w:rPr>
                <w:rFonts w:hint="default" w:ascii="宋体" w:hAnsi="宋体" w:cs="Helvetica"/>
                <w:color w:val="000000"/>
                <w:kern w:val="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</w:p>
        </w:tc>
      </w:tr>
      <w:tr w14:paraId="24FF6D73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C378">
            <w:pPr>
              <w:widowControl/>
              <w:spacing w:line="360" w:lineRule="exact"/>
              <w:ind w:right="108"/>
              <w:jc w:val="center"/>
              <w:rPr>
                <w:rFonts w:hint="default" w:ascii="宋体" w:hAnsi="宋体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03DD6">
            <w:pPr>
              <w:widowControl/>
              <w:spacing w:line="360" w:lineRule="exact"/>
              <w:ind w:right="108"/>
              <w:jc w:val="center"/>
              <w:rPr>
                <w:rStyle w:val="4"/>
                <w:rFonts w:hint="eastAsia" w:ascii="宋体" w:hAnsi="宋体" w:cs="宋体" w:eastAsiaTheme="minorEastAsia"/>
                <w:sz w:val="24"/>
                <w:szCs w:val="30"/>
                <w:highlight w:val="none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szCs w:val="30"/>
                <w:highlight w:val="none"/>
                <w:lang w:eastAsia="zh-CN"/>
              </w:rPr>
              <w:t>附加管理费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56E2">
            <w:pPr>
              <w:widowControl/>
              <w:spacing w:line="360" w:lineRule="exact"/>
              <w:ind w:right="108" w:firstLine="470" w:firstLineChars="196"/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服务供应商需提供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零配件的附加管理费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，投报最低价者得分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分，其余投标者价格分数=（最低价/投标价格）×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（备注：计算过程及结果数字保留两位小数）。</w:t>
            </w:r>
          </w:p>
          <w:p w14:paraId="3059C115">
            <w:pPr>
              <w:widowControl/>
              <w:spacing w:line="360" w:lineRule="exact"/>
              <w:ind w:right="108" w:rightChars="0" w:firstLine="470" w:firstLineChars="196"/>
              <w:rPr>
                <w:rFonts w:hint="eastAsia" w:ascii="宋体" w:hAnsi="宋体" w:cs="Helvetica" w:eastAsiaTheme="minorEastAsia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服务供应商未提供相关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eastAsia="zh-CN"/>
              </w:rPr>
              <w:t>报价</w:t>
            </w: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</w:rPr>
              <w:t>的不得分。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7F1A">
            <w:pPr>
              <w:widowControl/>
              <w:spacing w:line="360" w:lineRule="exact"/>
              <w:ind w:right="110" w:rightChars="0"/>
              <w:jc w:val="center"/>
              <w:rPr>
                <w:rFonts w:hint="default" w:ascii="宋体" w:hAnsi="宋体" w:cs="Helvetica" w:eastAsiaTheme="minorEastAsia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</w:p>
        </w:tc>
      </w:tr>
      <w:tr w14:paraId="614F5944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5D5F">
            <w:pPr>
              <w:widowControl/>
              <w:spacing w:line="400" w:lineRule="exact"/>
              <w:ind w:right="107"/>
              <w:jc w:val="center"/>
              <w:rPr>
                <w:rStyle w:val="4"/>
                <w:rFonts w:hint="eastAsia" w:cs="Helvetica"/>
                <w:b w:val="0"/>
                <w:color w:val="000000"/>
                <w:szCs w:val="30"/>
              </w:rPr>
            </w:pPr>
            <w:r>
              <w:rPr>
                <w:b/>
                <w:bCs/>
                <w:color w:val="000000"/>
                <w:sz w:val="24"/>
              </w:rPr>
              <w:t>合计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ABCA">
            <w:pPr>
              <w:widowControl/>
              <w:spacing w:line="360" w:lineRule="exact"/>
              <w:ind w:right="108"/>
              <w:jc w:val="center"/>
              <w:rPr>
                <w:rFonts w:hint="eastAsia" w:ascii="宋体" w:hAnsi="宋体" w:cs="Helvetica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100</w:t>
            </w:r>
          </w:p>
        </w:tc>
      </w:tr>
    </w:tbl>
    <w:p w14:paraId="03E5C6A5">
      <w:pPr>
        <w:widowControl/>
        <w:shd w:val="clear" w:color="auto" w:fill="FFFFFF"/>
        <w:spacing w:line="560" w:lineRule="exact"/>
        <w:jc w:val="left"/>
        <w:rPr>
          <w:rFonts w:ascii="仿宋_GB2312" w:hAnsi="Helvetica" w:eastAsia="仿宋_GB2312" w:cs="Helvetica"/>
          <w:color w:val="000000"/>
          <w:kern w:val="0"/>
          <w:sz w:val="32"/>
          <w:szCs w:val="32"/>
        </w:rPr>
      </w:pPr>
    </w:p>
    <w:p w14:paraId="2EDAB9B9">
      <w:pPr>
        <w:rPr>
          <w:rFonts w:eastAsia="仿宋"/>
          <w:sz w:val="18"/>
          <w:szCs w:val="18"/>
        </w:rPr>
      </w:pPr>
    </w:p>
    <w:p w14:paraId="710511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414F1"/>
    <w:rsid w:val="050010CF"/>
    <w:rsid w:val="1A16062F"/>
    <w:rsid w:val="4B674FA8"/>
    <w:rsid w:val="621321FC"/>
    <w:rsid w:val="7004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1254</Words>
  <Characters>1285</Characters>
  <Lines>0</Lines>
  <Paragraphs>0</Paragraphs>
  <TotalTime>50</TotalTime>
  <ScaleCrop>false</ScaleCrop>
  <LinksUpToDate>false</LinksUpToDate>
  <CharactersWithSpaces>1286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2024-05-14T08:56:00Z</dcterms:created>
  <dc:creator>李耀明</dc:creator>
  <cp:lastModifiedBy>王鲍勃</cp:lastModifiedBy>
  <cp:lastPrinted>2026-04-28T03:57:29Z</cp:lastPrinted>
  <dcterms:modified xsi:type="dcterms:W3CDTF">2026-04-28T03:57:41Z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KSOTemplateDocerSaveRecord">
    <vt:lpwstr>eyJoZGlkIjoiMmFhZGVmNmJhNTkyOGEzMGJkZTdkZWJkZTY2YjdiNmYiLCJ1c2VySWQiOiIxMTA0MDA3NzgzIn0=</vt:lpwstr>
  </property>
  <property fmtid="{D5CDD505-2E9C-101B-9397-08002B2CF9AE}" pid="5" name="ICV">
    <vt:lpwstr>F95555E14A734DF49D8CF38DCFC35B1B_12</vt:lpwstr>
  </property>
</Properties>
</file>