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</w:pPr>
      <w:bookmarkStart w:id="0" w:name="_GoBack"/>
      <w:bookmarkEnd w:id="0"/>
      <w:r>
        <w:rPr>
          <w:rFonts w:hint="default" w:ascii="Times New Roman" w:hAnsi="Times New Roman" w:eastAsia="黑体" w:cs="Times New Roman"/>
          <w:sz w:val="32"/>
          <w:szCs w:val="32"/>
          <w:lang w:val="en-US" w:eastAsia="zh-CN" w:bidi="ar-SA"/>
        </w:rPr>
        <w:t>附件5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313" w:beforeLines="10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 w:bidi="ar"/>
        </w:rPr>
        <w:t>十大战略性支柱产业集群及对应行业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40404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〔摘自产业集群行动计划（2021-2025年），供参考〕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1.新一代电子信息产业集群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含国民经济行业分类中的计算机制造、通信设备制造、广播电视设备制造、雷达及配套设备制造、非专业视听设备制造、智能消费设备制造、电子器件制造、电子元件及电子专用材料制造、其他电子元件制造9项中类36项小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2.绿色石化产业集群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包含国民经济行业分类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中的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石油加工业、化学原料和化学制品制造业、化学纤维制造业、橡胶和塑料制品业等4大类60中类。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3.智能家电产业集群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包含国民经济行业分类中的电气机械和器材制造业、计算机、通信和其他电子设备制造业、通用设备制造业等3个大类9个中类中的28个小类。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4.汽车产业集群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包含国民经济行业分类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中的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“汽车制造业”中的“汽车整车制造（汽柴油车整车制造和新能源车整车制造）、汽车用发动机制造、改装汽车制造、低速汽车制造、电车制造、汽车车身及挂车制造、汽车零部件及配件制造”等1个大类7个中类8个小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5.先进材料产业集群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包含国民经济行业分类</w:t>
      </w: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中的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非金属矿物制品业，黑色金属冶炼和压延加工业，有色金属冶炼和压延加工业，金属制品业，化学原料和化学制品制造业，化学纤维制造业，橡胶和塑料制品业，计算机、通信和其他电子设备制造业等8大类25中类中的93小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6.现代轻工纺织产业集群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含国民经济行业分类中的纺织业，纺织服装、服饰业，皮革、毛皮、羽毛及其制品和制鞋业，木材加工和木、竹、藤、棕、草制品业，家具制造业，造纸和纸制品业，印刷和记录媒介复制业，文教、工美、体育和娱乐用品制造业，化学原料和化学制品制造业，化学纤维制造业，橡胶和塑料制品业，非金属矿物制品业，金属制品业，专用设备制造业，铁路、船舶、航空航天和其他运输设备制造业，仪器仪表制造业，其他制造业等17个大类57个中类中的174个小类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7.软件与信息服务产业集群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包括满足信息技术需求的服务产品与服务过程，具体涉及软件产品、信息技术服务、嵌入式系统软件、信息安全等领域。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8.超高清视频显示产业集群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主要包括设备制造、节目制作、传输服务、行业应用等领域和环节。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9.生物医药与健康产业集群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主要包括生物药、化学药、现代中药、医疗器械、医疗服务、健康养老等领域。</w:t>
      </w:r>
    </w:p>
    <w:p>
      <w:pPr>
        <w:pStyle w:val="4"/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4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10.现代农业与食品产业集群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4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主要包括农、林、牧、渔业及其专业性、辅助性活动，农副食品加工业，食品制造业，酒、饮料、精制茶制造业，烟草制造业等。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 w:bidi="ar"/>
        </w:rPr>
      </w:pP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 w:bidi="ar"/>
        </w:rPr>
      </w:pPr>
      <w:r>
        <w:rPr>
          <w:rFonts w:hint="default" w:ascii="Times New Roman" w:hAnsi="Times New Roman" w:eastAsia="方正小标宋简体" w:cs="Times New Roman"/>
          <w:color w:val="000000"/>
          <w:spacing w:val="0"/>
          <w:kern w:val="0"/>
          <w:sz w:val="44"/>
          <w:szCs w:val="44"/>
          <w:lang w:val="en-US" w:eastAsia="zh-CN" w:bidi="ar"/>
        </w:rPr>
        <w:t>十大战略性新兴产业集群及对应行业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beforeAutospacing="0" w:after="157" w:afterLines="50" w:afterAutospacing="0" w:line="560" w:lineRule="exact"/>
        <w:ind w:left="0" w:leftChars="0" w:right="0" w:rightChars="0" w:firstLine="0" w:firstLineChars="0"/>
        <w:jc w:val="center"/>
        <w:textAlignment w:val="auto"/>
        <w:outlineLvl w:val="9"/>
        <w:rPr>
          <w:rFonts w:hint="default" w:ascii="Times New Roman" w:hAnsi="Times New Roman" w:eastAsia="仿宋_GB2312" w:cs="Times New Roman"/>
          <w:i w:val="0"/>
          <w:caps w:val="0"/>
          <w:color w:val="404040"/>
          <w:spacing w:val="0"/>
          <w:sz w:val="32"/>
          <w:szCs w:val="32"/>
          <w:lang w:eastAsia="zh-CN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〔摘自产业集群行动计划（2021-2025年），供参考〕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1.半导体与集成电路产业集群</w:t>
      </w:r>
    </w:p>
    <w:p>
      <w:pPr>
        <w:keepNext w:val="0"/>
        <w:keepLines w:val="0"/>
        <w:pageBreakBefore w:val="0"/>
        <w:widowControl/>
        <w:suppressLineNumbers w:val="0"/>
        <w:kinsoku/>
        <w:wordWrap/>
        <w:overflowPunct/>
        <w:topLinePunct w:val="0"/>
        <w:autoSpaceDE/>
        <w:autoSpaceDN/>
        <w:bidi w:val="0"/>
        <w:adjustRightInd/>
        <w:snapToGrid/>
        <w:spacing w:line="500" w:lineRule="exact"/>
        <w:ind w:firstLine="640" w:firstLineChars="200"/>
        <w:jc w:val="both"/>
        <w:textAlignment w:val="auto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主要包括半导体器件的设计、制造、封装测试，以及相关原材料、辅助材料、装备等。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2.高端装备制造产业集群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主要包括高端数控机床、海洋工程装备、航空装备、卫星及应用、轨道交通装备、集成电路装备等重点领域。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3.智能机器人产业集群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主要包括工业机器人、服务机器人、特种机器人和无人机（船）等。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4.区块链与量子信息产业集群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zh-TW" w:eastAsia="zh-CN" w:bidi="ar"/>
        </w:rPr>
        <w:t>区块链产业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括硬件基础设施、底层技术平台、区块链通用应用、技术扩展平台及终端用户服务等；量子信息产业包括未来信息材料与器件、量子模拟与计算、量子通信与网络、量子精密测量与计量以及关键核心工程装备等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5.前沿新材料产业集群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eastAsia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</w:t>
      </w: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包括智能、仿生与超材料，低维及纳米材料，高性能纤维，新型半导体材料，电子新材料及电子化学品，先进金属材料，新型复合材料，超导材料，增材制造材料，新能源材料，生物医用材料，材料先进研发、制备和检测、验证服务等领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6.新能源产业集群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主要包括核能、风能、天然气及其水合物、太阳能、氢能、生物质能、地热能、海洋能、智能电网、储能等领域。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7.激光与增材制造产业集群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主要包括中小功率光纤激光器、激光打标机、激光焊接机、桌面级增材制造设备等产品，特种光纤、数字光场芯片、精密激光制造、生物增材制造、激光器件、激光与增材制造装备等领域。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8.数字创意产业集群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以数字技术为主要驱动力，围绕文化创意内容进行创作、生产、传播和服务而融合形成的新经济形态，主要包括数字创意技术和设备、内容制作、设计服务、融合服务四大业态。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9.安全应急与环保产业集群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安全应急、节能环保领域的专用产品、设备和服务。安全应急产业主要集中在安全应急监测预警装备、应急救援特种装备、智能安全应急产品、安全应急服务等领域；节能环保产业主要集中在节能电气设备、环保设备、固体废物处置利用、节能环保服务等领域。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left="0" w:leftChars="0" w:right="0" w:rightChars="0" w:firstLine="640" w:firstLineChars="200"/>
        <w:jc w:val="both"/>
        <w:textAlignment w:val="auto"/>
        <w:outlineLvl w:val="9"/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黑体" w:cs="Times New Roman"/>
          <w:color w:val="000000"/>
          <w:kern w:val="0"/>
          <w:sz w:val="32"/>
          <w:szCs w:val="32"/>
          <w:lang w:val="en-US" w:eastAsia="zh-CN" w:bidi="ar"/>
        </w:rPr>
        <w:t>10.精密仪器设备产业集群</w:t>
      </w:r>
    </w:p>
    <w:p>
      <w:pPr>
        <w:pStyle w:val="4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00" w:lineRule="exact"/>
        <w:ind w:right="0" w:rightChars="0" w:firstLine="640"/>
        <w:jc w:val="both"/>
        <w:textAlignment w:val="auto"/>
        <w:outlineLvl w:val="9"/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Times New Roman" w:hAnsi="Times New Roman" w:eastAsia="仿宋_GB2312" w:cs="Times New Roman"/>
          <w:color w:val="000000"/>
          <w:kern w:val="0"/>
          <w:sz w:val="32"/>
          <w:szCs w:val="32"/>
          <w:lang w:val="en-US" w:eastAsia="zh-CN" w:bidi="ar"/>
        </w:rPr>
        <w:t>主要包括工业自动化测控仪器与系统、信息计测与电测仪器、科学测试分析仪器、人体诊疗仪器、各类专用检测与测量仪器以及相关的传感器、元器件、材料等六大领域。其中，工业自动化测控仪器与系统包括温度/压力/流量检测仪表、变送/调节仪表、伺服执行器等；信息计测与电测仪器包括元器件参数测量仪器、通信测试仪器、电能计量仪表等；科学测试分析仪器包括质谱仪、气相色谱仪、热分析仪、振动试验机等；人体诊疗仪器包括彩色多普勒超声诊断仪、监护仪、PCR仪、基因测序仪、磁共振成像MRI、螺旋CT等；各类专用检测与测量仪器包括集成电路三维封装量测仪器、全站仪、GNSS接收机等。</w:t>
      </w:r>
    </w:p>
    <w:p>
      <w:pPr>
        <w:rPr>
          <w:rFonts w:hint="default" w:ascii="Times New Roman" w:hAnsi="Times New Roman" w:cs="Times New Roman"/>
        </w:rPr>
      </w:pPr>
    </w:p>
    <w:sectPr>
      <w:footerReference r:id="rId3" w:type="default"/>
      <w:pgSz w:w="11906" w:h="16838"/>
      <w:pgMar w:top="1440" w:right="1800" w:bottom="1440" w:left="1800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003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方正小标宋简体">
    <w:panose1 w:val="02010601030101010101"/>
    <w:charset w:val="86"/>
    <w:family w:val="script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>
    <w:pPr>
      <w:pStyle w:val="3"/>
    </w:pPr>
    <w:r>
      <w:rPr>
        <w:sz w:val="18"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>
                          <w:pPr>
                            <w:snapToGrid w:val="0"/>
                            <w:rPr>
                              <w:rFonts w:hint="eastAsia" w:eastAsia="宋体"/>
                              <w:sz w:val="18"/>
                              <w:lang w:eastAsia="zh-CN"/>
                            </w:rPr>
                          </w:pPr>
                        </w:p>
                      </w:txbxContent>
                    </wps:txbx>
                    <wps:bodyPr wrap="none" lIns="0" tIns="0" rIns="0" bIns="0" upright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8240;mso-width-relative:page;mso-height-relative:page;" filled="f" stroked="f" coordsize="21600,21600" o:gfxdata="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">
              <v:fill on="f" focussize="0,0"/>
              <v:stroke on="f"/>
              <v:imagedata o:title=""/>
              <o:lock v:ext="edit" aspectratio="f"/>
              <v:textbox inset="0mm,0mm,0mm,0mm" style="mso-fit-shape-to-text:t;">
                <w:txbxContent>
                  <w:p>
                    <w:pPr>
                      <w:snapToGrid w:val="0"/>
                      <w:rPr>
                        <w:rFonts w:hint="eastAsia" w:eastAsia="宋体"/>
                        <w:sz w:val="18"/>
                        <w:lang w:eastAsia="zh-CN"/>
                      </w:rPr>
                    </w:pPr>
                  </w:p>
                </w:txbxContent>
              </v:textbox>
            </v:shape>
          </w:pict>
        </mc:Fallback>
      </mc:AlternateContent>
    </w: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1"/>
  <w:bordersDoNotSurroundFooter w:val="1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hdrShapeDefaults>
    <o:shapelayout v:ext="edit">
      <o:idmap v:ext="edit" data="2"/>
    </o:shapelayout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BADF881F"/>
    <w:rsid w:val="33E94812"/>
    <w:rsid w:val="3EF3BB24"/>
    <w:rsid w:val="3F2FF322"/>
    <w:rsid w:val="4BE84B29"/>
    <w:rsid w:val="5B9F9BB7"/>
    <w:rsid w:val="5EFF7741"/>
    <w:rsid w:val="7BDC80DB"/>
    <w:rsid w:val="89FFC9CD"/>
    <w:rsid w:val="BADF881F"/>
    <w:rsid w:val="DBC76A78"/>
    <w:rsid w:val="F7FBFB90"/>
    <w:rsid w:val="FC7FFF3B"/>
    <w:rsid w:val="FF7F6613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Calibri" w:hAnsi="Calibri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qFormat="1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next w:val="2"/>
    <w:qFormat/>
    <w:uiPriority w:val="0"/>
    <w:pPr>
      <w:widowControl w:val="0"/>
      <w:jc w:val="both"/>
    </w:pPr>
    <w:rPr>
      <w:rFonts w:ascii="Times New Roman" w:hAnsi="Times New Roman" w:eastAsia="宋体" w:cs="Times New Roman"/>
      <w:kern w:val="2"/>
      <w:sz w:val="21"/>
      <w:lang w:val="en-US" w:eastAsia="zh-CN"/>
    </w:rPr>
  </w:style>
  <w:style w:type="paragraph" w:styleId="2">
    <w:name w:val="heading 1"/>
    <w:basedOn w:val="1"/>
    <w:next w:val="1"/>
    <w:qFormat/>
    <w:uiPriority w:val="0"/>
    <w:pPr>
      <w:keepNext/>
      <w:spacing w:before="240" w:beforeLines="0" w:after="60" w:afterLines="0"/>
      <w:outlineLvl w:val="0"/>
    </w:pPr>
    <w:rPr>
      <w:rFonts w:ascii="Arial" w:hAnsi="Arial"/>
      <w:b/>
      <w:kern w:val="28"/>
      <w:sz w:val="28"/>
    </w:rPr>
  </w:style>
  <w:style w:type="character" w:default="1" w:styleId="6">
    <w:name w:val="Default Paragraph Font"/>
    <w:semiHidden/>
    <w:qFormat/>
    <w:uiPriority w:val="0"/>
  </w:style>
  <w:style w:type="table" w:default="1" w:styleId="5">
    <w:name w:val="Normal Table"/>
    <w:semiHidden/>
    <w:qFormat/>
    <w:uiPriority w:val="0"/>
    <w:tblPr>
      <w:tblStyle w:val="5"/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3">
    <w:name w:val="footer"/>
    <w:basedOn w:val="1"/>
    <w:unhideWhenUsed/>
    <w:qFormat/>
    <w:uiPriority w:val="0"/>
    <w:pPr>
      <w:tabs>
        <w:tab w:val="center" w:pos="4153"/>
        <w:tab w:val="right" w:pos="8306"/>
      </w:tabs>
      <w:snapToGrid w:val="0"/>
      <w:jc w:val="left"/>
    </w:pPr>
    <w:rPr>
      <w:rFonts w:hint="eastAsia" w:ascii="Calibri" w:hAnsi="Calibri"/>
      <w:sz w:val="18"/>
      <w:szCs w:val="18"/>
    </w:rPr>
  </w:style>
  <w:style w:type="paragraph" w:styleId="4">
    <w:name w:val="Normal (Web)"/>
    <w:basedOn w:val="1"/>
    <w:unhideWhenUsed/>
    <w:qFormat/>
    <w:uiPriority w:val="99"/>
    <w:pPr>
      <w:spacing w:before="100" w:beforeAutospacing="1" w:after="100" w:afterAutospacing="1"/>
      <w:ind w:left="0" w:right="0"/>
      <w:jc w:val="left"/>
    </w:pPr>
    <w:rPr>
      <w:kern w:val="0"/>
      <w:sz w:val="24"/>
      <w:lang w:val="en-US" w:eastAsia="zh-CN" w:bidi="ar-SA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customXml" Target="../customXml/item1.xml"/><Relationship Id="rId4" Type="http://schemas.openxmlformats.org/officeDocument/2006/relationships/theme" Target="theme/theme1.xml"/><Relationship Id="rId3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2.33333333333333</TotalTime>
  <ScaleCrop>false</ScaleCrop>
  <LinksUpToDate>false</LinksUpToDate>
  <CharactersWithSpaces>0</CharactersWithSpaces>
  <Application>WPS Office_11.8.2.8411_F1E327BC-269C-435d-A152-05C5408002CA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2023-02-22T15:11:00Z</dcterms:created>
  <dc:creator>greatwall</dc:creator>
  <cp:lastModifiedBy>Acer</cp:lastModifiedBy>
  <dcterms:modified xsi:type="dcterms:W3CDTF">2026-04-14T09:39:12Z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2052-11.8.2.8411</vt:lpwstr>
  </property>
</Properties>
</file>