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60"/>
        <w:ind w:firstLine="0" w:firstLineChars="0"/>
        <w:rPr>
          <w:rFonts w:hint="default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7"/>
        <w:snapToGrid w:val="0"/>
        <w:spacing w:after="60"/>
        <w:ind w:firstLine="0" w:firstLineChars="0"/>
        <w:jc w:val="center"/>
        <w:rPr>
          <w:rFonts w:hint="default" w:eastAsia="方正小标宋简体"/>
          <w:sz w:val="44"/>
          <w:szCs w:val="44"/>
        </w:rPr>
      </w:pPr>
      <w:r>
        <w:rPr>
          <w:rFonts w:hint="default" w:eastAsia="方正小标宋简体"/>
          <w:sz w:val="44"/>
          <w:szCs w:val="44"/>
        </w:rPr>
        <w:t>江门市</w:t>
      </w:r>
      <w:r>
        <w:rPr>
          <w:rFonts w:hint="eastAsia" w:eastAsia="方正小标宋简体"/>
          <w:sz w:val="44"/>
          <w:szCs w:val="44"/>
          <w:lang w:eastAsia="zh-CN"/>
        </w:rPr>
        <w:t>国家级</w:t>
      </w:r>
      <w:r>
        <w:rPr>
          <w:rFonts w:hint="default" w:eastAsia="方正小标宋简体"/>
          <w:sz w:val="44"/>
          <w:szCs w:val="44"/>
        </w:rPr>
        <w:t>中小企业数字化转型</w:t>
      </w:r>
    </w:p>
    <w:p>
      <w:pPr>
        <w:pStyle w:val="7"/>
        <w:snapToGrid w:val="0"/>
        <w:spacing w:after="60"/>
        <w:ind w:firstLine="0" w:firstLineChars="0"/>
        <w:jc w:val="center"/>
        <w:rPr>
          <w:rFonts w:hint="default" w:eastAsia="方正小标宋简体"/>
          <w:sz w:val="44"/>
          <w:szCs w:val="44"/>
        </w:rPr>
      </w:pPr>
      <w:r>
        <w:rPr>
          <w:rFonts w:hint="default" w:eastAsia="方正小标宋简体"/>
          <w:sz w:val="44"/>
          <w:szCs w:val="44"/>
        </w:rPr>
        <w:t>城市试点工作通讯录</w:t>
      </w:r>
    </w:p>
    <w:p>
      <w:pPr>
        <w:widowControl/>
        <w:numPr>
          <w:ilvl w:val="0"/>
          <w:numId w:val="0"/>
        </w:numPr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各级工业和信息化主管部门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620"/>
        <w:gridCol w:w="3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br w:type="page"/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市工业和信息化局</w:t>
            </w:r>
          </w:p>
        </w:tc>
        <w:tc>
          <w:tcPr>
            <w:tcW w:w="34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3279819、3279722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蓬江区经济促进局</w:t>
            </w:r>
          </w:p>
        </w:tc>
        <w:tc>
          <w:tcPr>
            <w:tcW w:w="34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3833312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江海区经济促进局</w:t>
            </w:r>
          </w:p>
        </w:tc>
        <w:tc>
          <w:tcPr>
            <w:tcW w:w="34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3861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新会区科工商务局</w:t>
            </w:r>
          </w:p>
        </w:tc>
        <w:tc>
          <w:tcPr>
            <w:tcW w:w="34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6631062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台山市科工商务局</w:t>
            </w:r>
          </w:p>
        </w:tc>
        <w:tc>
          <w:tcPr>
            <w:tcW w:w="34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5528031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开平市科工商务局</w:t>
            </w:r>
          </w:p>
        </w:tc>
        <w:tc>
          <w:tcPr>
            <w:tcW w:w="34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2268560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鹤山市科工商务局</w:t>
            </w:r>
          </w:p>
        </w:tc>
        <w:tc>
          <w:tcPr>
            <w:tcW w:w="34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8871575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恩平市科工商务局</w:t>
            </w:r>
          </w:p>
        </w:tc>
        <w:tc>
          <w:tcPr>
            <w:tcW w:w="34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7123826</w:t>
            </w:r>
          </w:p>
        </w:tc>
      </w:tr>
    </w:tbl>
    <w:p>
      <w:pPr>
        <w:rPr>
          <w:rFonts w:hint="eastAsia" w:eastAsia="方正小标宋简体"/>
          <w:sz w:val="44"/>
          <w:szCs w:val="44"/>
          <w:lang w:eastAsia="zh-CN"/>
        </w:rPr>
      </w:pPr>
    </w:p>
    <w:p>
      <w:pPr>
        <w:pStyle w:val="7"/>
        <w:snapToGrid w:val="0"/>
        <w:spacing w:after="60"/>
        <w:ind w:firstLine="0" w:firstLineChars="0"/>
        <w:jc w:val="center"/>
        <w:rPr>
          <w:rFonts w:hint="eastAsia" w:eastAsia="方正小标宋简体"/>
          <w:sz w:val="44"/>
          <w:szCs w:val="44"/>
          <w:lang w:eastAsia="zh-CN"/>
        </w:rPr>
      </w:pPr>
    </w:p>
    <w:p>
      <w:pPr>
        <w:widowControl/>
        <w:numPr>
          <w:ilvl w:val="0"/>
          <w:numId w:val="0"/>
        </w:numPr>
        <w:snapToGrid/>
        <w:spacing w:after="60" w:line="580" w:lineRule="exact"/>
        <w:ind w:firstLineChars="0"/>
        <w:jc w:val="both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/>
          <w:sz w:val="32"/>
          <w:szCs w:val="32"/>
        </w:rPr>
        <w:t>数字化牵引单位</w:t>
      </w:r>
    </w:p>
    <w:tbl>
      <w:tblPr>
        <w:tblStyle w:val="8"/>
        <w:tblW w:w="100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822"/>
        <w:gridCol w:w="3454"/>
        <w:gridCol w:w="1060"/>
        <w:gridCol w:w="1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细分行业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广东明道信息技术有限公司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李国杰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18688601300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江门市鑫蝶软件有限公司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邓凯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13119857470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江门商拓智能科技有限公司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黄爱婷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18926163286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江门快立信信息科技有限公司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18128205998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南京维拓科技股份有限公司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阳洋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18857068083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浪潮云洲工业互联网有限公司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罗嘉楠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18825188587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联通（广东）产业互联网有限公司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侯达明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18675001302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广州博依特智能信息科技有限公司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张洋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13728029063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江门市玛斯特数字技术有限公司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苏小明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13066851197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广州明珞装备股份有限公司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林国志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18688860436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江门专心聚科数字技术有限公司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管邦峰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13924623896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江门市元道信息技术有限公司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李泽元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13555681112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中移建设有限公司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苏运欢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13822335098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湖南牛数商智信息科技有限公司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易争光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19173173413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广东亿迅科技有限公司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李宏伟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13380998060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江门市华通软件有限公司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刘清风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13542169559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广东知业科技有限公司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邓丹儿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15989122540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广东瑞恩科技有限公司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吴学勇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13728247863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国润创投（北京）科技有限公司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路志彪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13621278783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科大智能物联技术股份有限公司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周丽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18226132678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重庆帮企科技集团有限公司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朱显申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18955363960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广东壹公里数智科技有限公司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叶可茵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13822340333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阿里巴巴（中国）网络技术有限公司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米志飞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18816789345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广东盘古信息科技股份有限公司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熊金鹏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18929417797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包头市喜鹊创意科技有限公司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饶梦彤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19851623550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宁波数益工联科技有限公司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李炜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18928641180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江门市凯启数联科技有限公司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肖云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13729985535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珠海乐图软件有限公司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覃道亿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13709687751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百兰智能科技（苏州）有限公司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汤梦瑶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17839021119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江门航聚企业管理有限公司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吴清云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13536032330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广东天心天思软件有限公司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黄向阳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15907568259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优铸科技（北京）有限公司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张笑尘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18515365386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广东旭东能效技术有限公司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廖志明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15875036130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骏捷（广东）科技有限公司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陈文智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13686946567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广州市天剑计算机系统工程有限公司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林晓丽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13580442274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海南傲为智慧产业有限公司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贾敏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15333517413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江门华秋电子有限公司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五金制品及零配件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楚惠瑜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13928447627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24B75"/>
    <w:rsid w:val="3AFE1F63"/>
    <w:rsid w:val="5E4FC58B"/>
    <w:rsid w:val="5EF9AC17"/>
    <w:rsid w:val="63A96660"/>
    <w:rsid w:val="66524B75"/>
    <w:rsid w:val="6A7F82F2"/>
    <w:rsid w:val="6F8A2AF3"/>
    <w:rsid w:val="7B974C50"/>
    <w:rsid w:val="7D4E1D3A"/>
    <w:rsid w:val="9DFE10E8"/>
    <w:rsid w:val="D3B909D9"/>
    <w:rsid w:val="DF773FD2"/>
    <w:rsid w:val="F3FB42E8"/>
    <w:rsid w:val="FBEED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spacing w:after="120" w:afterLines="0" w:afterAutospacing="0"/>
      <w:ind w:left="0" w:leftChars="0"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2025-11-30T03:44:00Z</dcterms:created>
  <dc:creator>momo</dc:creator>
  <cp:lastModifiedBy>uos</cp:lastModifiedBy>
  <dcterms:modified xsi:type="dcterms:W3CDTF">2026-04-07T16:08:27Z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CAB9EECA6A20A3957BBBD469CB290A6D</vt:lpwstr>
  </property>
  <property fmtid="{D5CDD505-2E9C-101B-9397-08002B2CF9AE}" pid="4" name="KSOTemplateDocerSaveRecord">
    <vt:lpwstr>eyJoZGlkIjoiYjg2ZDg5ZDc3OTk3MGVlZjI0YzNjMzUyOTJlOTI2ZGQiLCJ1c2VySWQiOiIxNTYxMDkxODgzIn0=</vt:lpwstr>
  </property>
</Properties>
</file>