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hAnsi="Times New Roman" w:eastAsia="方正小标宋简体" w:cs="Times New Roman"/>
          <w:b w:val="0"/>
          <w:color w:val="000000" w:themeColor="text1"/>
          <w:spacing w:val="6"/>
          <w:sz w:val="44"/>
          <w:szCs w:val="44"/>
          <w:highlight w:val="none"/>
          <w:shd w:val="clear" w:color="auto" w:fill="auto"/>
          <w14:textFill>
            <w14:solidFill>
              <w14:schemeClr w14:val="tx1"/>
            </w14:solidFill>
          </w14:textFill>
        </w:rPr>
      </w:pPr>
      <w:r>
        <w:rPr>
          <w:rFonts w:hint="eastAsia" w:ascii="方正小标宋简体" w:hAnsi="Times New Roman" w:eastAsia="方正小标宋简体"/>
          <w:bCs w:val="0"/>
          <w:spacing w:val="6"/>
          <w:sz w:val="44"/>
          <w:szCs w:val="44"/>
          <w:highlight w:val="none"/>
        </w:rPr>
        <w:t>江门市市场监督管理局</w:t>
      </w:r>
      <w:r>
        <w:rPr>
          <w:rFonts w:hint="eastAsia" w:ascii="方正小标宋简体" w:eastAsia="方正小标宋简体"/>
          <w:spacing w:val="6"/>
          <w:sz w:val="44"/>
          <w:szCs w:val="44"/>
          <w:highlight w:val="none"/>
        </w:rPr>
        <w:t>公平竞争审查第三方评估</w:t>
      </w:r>
      <w:r>
        <w:rPr>
          <w:rFonts w:ascii="方正小标宋简体" w:eastAsia="方正小标宋简体"/>
          <w:spacing w:val="6"/>
          <w:sz w:val="44"/>
          <w:szCs w:val="44"/>
          <w:highlight w:val="none"/>
        </w:rPr>
        <w:t>服务项目</w:t>
      </w:r>
      <w:r>
        <w:rPr>
          <w:rFonts w:hint="eastAsia" w:ascii="方正小标宋简体" w:hAnsi="Times New Roman" w:eastAsia="方正小标宋简体" w:cs="Times New Roman"/>
          <w:b w:val="0"/>
          <w:color w:val="000000" w:themeColor="text1"/>
          <w:spacing w:val="6"/>
          <w:sz w:val="44"/>
          <w:szCs w:val="44"/>
          <w:highlight w:val="none"/>
          <w:shd w:val="clear" w:color="auto" w:fill="auto"/>
          <w14:textFill>
            <w14:solidFill>
              <w14:schemeClr w14:val="tx1"/>
            </w14:solidFill>
          </w14:textFill>
        </w:rPr>
        <w:t>合同</w:t>
      </w:r>
    </w:p>
    <w:p>
      <w:pPr>
        <w:spacing w:line="480" w:lineRule="exact"/>
        <w:jc w:val="center"/>
        <w:rPr>
          <w:rFonts w:ascii="宋体" w:hAnsi="宋体" w:eastAsia="宋体" w:cs="宋体"/>
          <w:b/>
          <w:color w:val="000000" w:themeColor="text1"/>
          <w:sz w:val="32"/>
          <w:szCs w:val="32"/>
          <w:highlight w:val="none"/>
          <w:shd w:val="clear" w:color="auto" w:fill="FFFFFF"/>
          <w14:textFill>
            <w14:solidFill>
              <w14:schemeClr w14:val="tx1"/>
            </w14:solidFill>
          </w14:textFill>
        </w:rPr>
      </w:pPr>
    </w:p>
    <w:p>
      <w:pPr>
        <w:spacing w:line="480" w:lineRule="exact"/>
        <w:rPr>
          <w:rFonts w:ascii="仿宋" w:hAnsi="仿宋" w:eastAsia="仿宋" w:cs="仿宋"/>
          <w:b/>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u w:val="single"/>
        </w:rPr>
        <w:t>江门市市场监督管理局</w:t>
      </w:r>
    </w:p>
    <w:p>
      <w:pPr>
        <w:spacing w:line="48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江门市东华二路7号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b/>
          <w:color w:val="000000" w:themeColor="text1"/>
          <w:sz w:val="28"/>
          <w:szCs w:val="28"/>
          <w:highlight w:val="none"/>
          <w:u w:val="single"/>
          <w14:textFill>
            <w14:solidFill>
              <w14:schemeClr w14:val="tx1"/>
            </w14:solidFill>
          </w14:textFill>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pStyle w:val="5"/>
        <w:widowControl/>
        <w:spacing w:line="480" w:lineRule="exact"/>
        <w:ind w:firstLine="560" w:firstLineChars="200"/>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甲、乙双方根据“江门市市场监督管理局公平竞争审查第三方评估项目”（项目编号：</w:t>
      </w:r>
      <w:r>
        <w:rPr>
          <w:rFonts w:hint="eastAsia" w:ascii="仿宋" w:hAnsi="仿宋" w:eastAsia="仿宋" w:cs="仿宋"/>
          <w:color w:val="000000" w:themeColor="text1"/>
          <w:sz w:val="28"/>
          <w:szCs w:val="28"/>
          <w:highlight w:val="none"/>
          <w:lang w:val="en-US" w:eastAsia="zh-CN"/>
          <w14:textFill>
            <w14:solidFill>
              <w14:schemeClr w14:val="tx1"/>
            </w14:solidFill>
          </w14:textFill>
        </w:rPr>
        <w:t>2025009</w:t>
      </w:r>
      <w:r>
        <w:rPr>
          <w:rFonts w:hint="eastAsia" w:ascii="仿宋" w:hAnsi="仿宋" w:eastAsia="仿宋" w:cs="仿宋"/>
          <w:color w:val="000000" w:themeColor="text1"/>
          <w:sz w:val="28"/>
          <w:szCs w:val="28"/>
          <w:highlight w:val="none"/>
          <w14:textFill>
            <w14:solidFill>
              <w14:schemeClr w14:val="tx1"/>
            </w14:solidFill>
          </w14:textFill>
        </w:rPr>
        <w:t>）（以下简称项目）的采购结果、招标文件、乙方的投标文件及澄清文件和中标通知书的要求，按照《中华人民共和国民法典》、《中华人民共和国政府采购法》及其实施条例等相关法律法规的规定，经双方协商，本着平等、自愿、公平和诚实信用的原则，一致同意签订合同如下</w:t>
      </w:r>
      <w:r>
        <w:rPr>
          <w:rFonts w:hint="eastAsia" w:ascii="仿宋" w:hAnsi="仿宋" w:eastAsia="仿宋" w:cs="仿宋"/>
          <w:color w:val="000000" w:themeColor="text1"/>
          <w:spacing w:val="-6"/>
          <w:sz w:val="28"/>
          <w:szCs w:val="28"/>
          <w:highlight w:val="none"/>
          <w14:textFill>
            <w14:solidFill>
              <w14:schemeClr w14:val="tx1"/>
            </w14:solidFill>
          </w14:textFill>
        </w:rPr>
        <w:t>：</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 xml:space="preserve">第一条  项目内容 </w:t>
      </w:r>
    </w:p>
    <w:p>
      <w:pPr>
        <w:pStyle w:val="14"/>
        <w:widowControl/>
        <w:spacing w:line="500" w:lineRule="exact"/>
        <w:ind w:firstLine="560" w:firstLineChars="200"/>
        <w:rPr>
          <w:rFonts w:ascii="仿宋" w:hAnsi="仿宋" w:eastAsia="仿宋" w:cs="仿宋"/>
          <w:color w:val="000000" w:themeColor="text1"/>
          <w:sz w:val="28"/>
          <w:szCs w:val="28"/>
          <w:highlight w:val="none"/>
          <w:u w:val="none"/>
          <w14:textFill>
            <w14:solidFill>
              <w14:schemeClr w14:val="tx1"/>
            </w14:solidFill>
          </w14:textFill>
        </w:rPr>
      </w:pPr>
      <w:r>
        <w:rPr>
          <w:rFonts w:hint="eastAsia" w:ascii="仿宋" w:hAnsi="仿宋" w:eastAsia="仿宋" w:cs="仿宋"/>
          <w:color w:val="000000" w:themeColor="text1"/>
          <w:kern w:val="0"/>
          <w:sz w:val="28"/>
          <w:szCs w:val="28"/>
          <w:highlight w:val="none"/>
          <w:u w:val="none"/>
          <w14:textFill>
            <w14:solidFill>
              <w14:schemeClr w14:val="tx1"/>
            </w14:solidFill>
          </w14:textFill>
        </w:rPr>
        <w:t>甲方委托乙方就</w:t>
      </w:r>
      <w:r>
        <w:rPr>
          <w:rFonts w:ascii="仿宋" w:hAnsi="仿宋" w:eastAsia="仿宋" w:cs="仿宋"/>
          <w:color w:val="000000" w:themeColor="text1"/>
          <w:kern w:val="0"/>
          <w:sz w:val="28"/>
          <w:szCs w:val="28"/>
          <w:highlight w:val="none"/>
          <w:u w:val="none"/>
          <w14:textFill>
            <w14:solidFill>
              <w14:schemeClr w14:val="tx1"/>
            </w14:solidFill>
          </w14:textFill>
        </w:rPr>
        <w:t>2025</w:t>
      </w:r>
      <w:r>
        <w:rPr>
          <w:rFonts w:hint="eastAsia" w:ascii="仿宋" w:hAnsi="仿宋" w:eastAsia="仿宋" w:cs="仿宋"/>
          <w:color w:val="000000" w:themeColor="text1"/>
          <w:kern w:val="0"/>
          <w:sz w:val="28"/>
          <w:szCs w:val="28"/>
          <w:highlight w:val="none"/>
          <w:u w:val="none"/>
          <w14:textFill>
            <w14:solidFill>
              <w14:schemeClr w14:val="tx1"/>
            </w14:solidFill>
          </w14:textFill>
        </w:rPr>
        <w:t>年</w:t>
      </w:r>
      <w:r>
        <w:rPr>
          <w:rFonts w:hint="eastAsia" w:ascii="仿宋" w:hAnsi="仿宋" w:eastAsia="仿宋" w:cs="仿宋"/>
          <w:color w:val="000000" w:themeColor="text1"/>
          <w:sz w:val="28"/>
          <w:szCs w:val="28"/>
          <w:highlight w:val="none"/>
          <w14:textFill>
            <w14:solidFill>
              <w14:schemeClr w14:val="tx1"/>
            </w14:solidFill>
          </w14:textFill>
        </w:rPr>
        <w:t>江门市市场监督管理局公平竞争审查第三方评估</w:t>
      </w:r>
      <w:r>
        <w:rPr>
          <w:rFonts w:ascii="仿宋" w:hAnsi="仿宋" w:eastAsia="仿宋" w:cs="仿宋"/>
          <w:color w:val="000000" w:themeColor="text1"/>
          <w:kern w:val="0"/>
          <w:sz w:val="28"/>
          <w:szCs w:val="28"/>
          <w:highlight w:val="none"/>
          <w:u w:val="none"/>
          <w14:textFill>
            <w14:solidFill>
              <w14:schemeClr w14:val="tx1"/>
            </w14:solidFill>
          </w14:textFill>
        </w:rPr>
        <w:t>项目</w:t>
      </w:r>
      <w:r>
        <w:rPr>
          <w:rFonts w:hint="eastAsia" w:ascii="仿宋" w:hAnsi="仿宋" w:eastAsia="仿宋" w:cs="仿宋"/>
          <w:color w:val="000000" w:themeColor="text1"/>
          <w:kern w:val="0"/>
          <w:sz w:val="28"/>
          <w:szCs w:val="28"/>
          <w:highlight w:val="none"/>
          <w:u w:val="none"/>
          <w14:textFill>
            <w14:solidFill>
              <w14:schemeClr w14:val="tx1"/>
            </w14:solidFill>
          </w14:textFill>
        </w:rPr>
        <w:t>提供</w:t>
      </w:r>
      <w:r>
        <w:rPr>
          <w:rFonts w:ascii="仿宋" w:hAnsi="仿宋" w:eastAsia="仿宋" w:cs="仿宋"/>
          <w:color w:val="000000" w:themeColor="text1"/>
          <w:kern w:val="0"/>
          <w:sz w:val="28"/>
          <w:szCs w:val="28"/>
          <w:highlight w:val="none"/>
          <w:u w:val="none"/>
          <w14:textFill>
            <w14:solidFill>
              <w14:schemeClr w14:val="tx1"/>
            </w14:solidFill>
          </w14:textFill>
        </w:rPr>
        <w:t>审查</w:t>
      </w:r>
      <w:r>
        <w:rPr>
          <w:rFonts w:hint="eastAsia" w:ascii="仿宋" w:hAnsi="仿宋" w:eastAsia="仿宋" w:cs="仿宋"/>
          <w:color w:val="000000" w:themeColor="text1"/>
          <w:kern w:val="0"/>
          <w:sz w:val="28"/>
          <w:szCs w:val="28"/>
          <w:highlight w:val="none"/>
          <w:u w:val="none"/>
          <w14:textFill>
            <w14:solidFill>
              <w14:schemeClr w14:val="tx1"/>
            </w14:solidFill>
          </w14:textFill>
        </w:rPr>
        <w:t>服务工作，按甲方要求及标准在约定期限内，向甲方提供服务，并提交相关工作成果。</w:t>
      </w:r>
      <w:r>
        <w:rPr>
          <w:rFonts w:hint="eastAsia" w:ascii="仿宋" w:hAnsi="仿宋" w:eastAsia="仿宋" w:cs="仿宋"/>
          <w:color w:val="000000" w:themeColor="text1"/>
          <w:sz w:val="28"/>
          <w:szCs w:val="28"/>
          <w:highlight w:val="none"/>
          <w14:textFill>
            <w14:solidFill>
              <w14:schemeClr w14:val="tx1"/>
            </w14:solidFill>
          </w14:textFill>
        </w:rPr>
        <w:t>具体服务内容及要求如下：</w:t>
      </w:r>
    </w:p>
    <w:p>
      <w:pPr>
        <w:pStyle w:val="14"/>
        <w:widowControl/>
        <w:numPr>
          <w:ilvl w:val="0"/>
          <w:numId w:val="1"/>
        </w:numPr>
        <w:spacing w:line="500" w:lineRule="exact"/>
        <w:ind w:firstLine="560" w:firstLineChars="200"/>
        <w:rPr>
          <w:rFonts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对</w:t>
      </w:r>
      <w:r>
        <w:rPr>
          <w:rFonts w:ascii="仿宋" w:hAnsi="仿宋" w:eastAsia="仿宋" w:cs="Times New Roman"/>
          <w:color w:val="000000" w:themeColor="text1"/>
          <w:sz w:val="28"/>
          <w:szCs w:val="28"/>
          <w:highlight w:val="none"/>
          <w14:textFill>
            <w14:solidFill>
              <w14:schemeClr w14:val="tx1"/>
            </w14:solidFill>
          </w14:textFill>
        </w:rPr>
        <w:t>2024</w:t>
      </w:r>
      <w:r>
        <w:rPr>
          <w:rFonts w:hint="eastAsia" w:ascii="仿宋" w:hAnsi="仿宋" w:eastAsia="仿宋" w:cs="Times New Roman"/>
          <w:color w:val="000000" w:themeColor="text1"/>
          <w:sz w:val="28"/>
          <w:szCs w:val="28"/>
          <w:highlight w:val="none"/>
          <w14:textFill>
            <w14:solidFill>
              <w14:schemeClr w14:val="tx1"/>
            </w14:solidFill>
          </w14:textFill>
        </w:rPr>
        <w:t>年以前全市出台涉及市场主体经济活动的政策措施文件</w:t>
      </w:r>
      <w:r>
        <w:rPr>
          <w:rFonts w:ascii="仿宋" w:hAnsi="仿宋" w:eastAsia="仿宋" w:cs="Times New Roman"/>
          <w:color w:val="000000" w:themeColor="text1"/>
          <w:sz w:val="28"/>
          <w:szCs w:val="28"/>
          <w:highlight w:val="none"/>
          <w14:textFill>
            <w14:solidFill>
              <w14:schemeClr w14:val="tx1"/>
            </w14:solidFill>
          </w14:textFill>
        </w:rPr>
        <w:t>公平竞争审查</w:t>
      </w:r>
      <w:r>
        <w:rPr>
          <w:rFonts w:hint="eastAsia" w:ascii="仿宋" w:hAnsi="仿宋" w:eastAsia="仿宋" w:cs="Times New Roman"/>
          <w:color w:val="000000" w:themeColor="text1"/>
          <w:sz w:val="28"/>
          <w:szCs w:val="28"/>
          <w:highlight w:val="none"/>
          <w14:textFill>
            <w14:solidFill>
              <w14:schemeClr w14:val="tx1"/>
            </w14:solidFill>
          </w14:textFill>
        </w:rPr>
        <w:t>进行评估并出具评估意见</w:t>
      </w:r>
      <w:r>
        <w:rPr>
          <w:rFonts w:ascii="仿宋" w:hAnsi="仿宋" w:eastAsia="仿宋" w:cs="Times New Roman"/>
          <w:color w:val="000000" w:themeColor="text1"/>
          <w:sz w:val="28"/>
          <w:szCs w:val="28"/>
          <w:highlight w:val="none"/>
          <w14:textFill>
            <w14:solidFill>
              <w14:schemeClr w14:val="tx1"/>
            </w14:solidFill>
          </w14:textFill>
        </w:rPr>
        <w:t>不少于50份</w:t>
      </w:r>
      <w:r>
        <w:rPr>
          <w:rFonts w:hint="eastAsia" w:ascii="仿宋" w:hAnsi="仿宋" w:eastAsia="仿宋" w:cs="Times New Roman"/>
          <w:color w:val="000000" w:themeColor="text1"/>
          <w:sz w:val="28"/>
          <w:szCs w:val="28"/>
          <w:highlight w:val="none"/>
          <w14:textFill>
            <w14:solidFill>
              <w14:schemeClr w14:val="tx1"/>
            </w14:solidFill>
          </w14:textFill>
        </w:rPr>
        <w:t>。</w:t>
      </w:r>
    </w:p>
    <w:p>
      <w:pPr>
        <w:pStyle w:val="14"/>
        <w:widowControl/>
        <w:numPr>
          <w:ilvl w:val="0"/>
          <w:numId w:val="1"/>
        </w:numPr>
        <w:spacing w:line="500" w:lineRule="exact"/>
        <w:ind w:firstLine="560" w:firstLineChars="200"/>
        <w:rPr>
          <w:rFonts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出具2024-2025年度全市公平竞争审查制度实施情况评估报告</w:t>
      </w:r>
      <w:r>
        <w:rPr>
          <w:rFonts w:ascii="仿宋" w:hAnsi="仿宋" w:eastAsia="仿宋" w:cs="Times New Roman"/>
          <w:color w:val="000000" w:themeColor="text1"/>
          <w:sz w:val="28"/>
          <w:szCs w:val="28"/>
          <w:highlight w:val="none"/>
          <w14:textFill>
            <w14:solidFill>
              <w14:schemeClr w14:val="tx1"/>
            </w14:solidFill>
          </w14:textFill>
        </w:rPr>
        <w:t>1份</w:t>
      </w:r>
      <w:r>
        <w:rPr>
          <w:rFonts w:hint="eastAsia" w:ascii="仿宋" w:hAnsi="仿宋" w:eastAsia="仿宋" w:cs="Times New Roman"/>
          <w:color w:val="000000" w:themeColor="text1"/>
          <w:sz w:val="28"/>
          <w:szCs w:val="28"/>
          <w:highlight w:val="none"/>
          <w14:textFill>
            <w14:solidFill>
              <w14:schemeClr w14:val="tx1"/>
            </w14:solidFill>
          </w14:textFill>
        </w:rPr>
        <w:t>。</w:t>
      </w:r>
    </w:p>
    <w:p>
      <w:pPr>
        <w:pStyle w:val="14"/>
        <w:widowControl/>
        <w:numPr>
          <w:ilvl w:val="0"/>
          <w:numId w:val="1"/>
        </w:numPr>
        <w:spacing w:line="500" w:lineRule="exact"/>
        <w:ind w:firstLine="560" w:firstLineChars="200"/>
        <w:rPr>
          <w:rFonts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协助开展公平竞争审查重点领域核查、疑难问题会审、上级部门抽查并出具公平竞争审查意见</w:t>
      </w:r>
      <w:r>
        <w:rPr>
          <w:rFonts w:ascii="仿宋" w:hAnsi="仿宋" w:eastAsia="仿宋" w:cs="Times New Roman"/>
          <w:color w:val="000000" w:themeColor="text1"/>
          <w:sz w:val="28"/>
          <w:szCs w:val="28"/>
          <w:highlight w:val="none"/>
          <w14:textFill>
            <w14:solidFill>
              <w14:schemeClr w14:val="tx1"/>
            </w14:solidFill>
          </w14:textFill>
        </w:rPr>
        <w:t>不少于10份</w:t>
      </w:r>
      <w:r>
        <w:rPr>
          <w:rFonts w:hint="eastAsia" w:ascii="仿宋" w:hAnsi="仿宋" w:eastAsia="仿宋" w:cs="Times New Roman"/>
          <w:color w:val="000000" w:themeColor="text1"/>
          <w:sz w:val="28"/>
          <w:szCs w:val="28"/>
          <w:highlight w:val="none"/>
          <w14:textFill>
            <w14:solidFill>
              <w14:schemeClr w14:val="tx1"/>
            </w14:solidFill>
          </w14:textFill>
        </w:rPr>
        <w:t>。</w:t>
      </w:r>
    </w:p>
    <w:p>
      <w:pPr>
        <w:pStyle w:val="14"/>
        <w:widowControl/>
        <w:numPr>
          <w:ilvl w:val="0"/>
          <w:numId w:val="1"/>
        </w:numPr>
        <w:spacing w:line="500" w:lineRule="exact"/>
        <w:ind w:firstLine="560" w:firstLineChars="200"/>
        <w:rPr>
          <w:rFonts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对重大政策措施会审提供会审意见</w:t>
      </w:r>
      <w:r>
        <w:rPr>
          <w:rFonts w:hint="eastAsia" w:ascii="仿宋" w:hAnsi="仿宋" w:eastAsia="仿宋" w:cs="Times New Roman"/>
          <w:color w:val="000000" w:themeColor="text1"/>
          <w:sz w:val="28"/>
          <w:szCs w:val="28"/>
          <w:highlight w:val="none"/>
          <w:lang w:eastAsia="zh-CN"/>
          <w14:textFill>
            <w14:solidFill>
              <w14:schemeClr w14:val="tx1"/>
            </w14:solidFill>
          </w14:textFill>
        </w:rPr>
        <w:t>（以实际份数为准，总价不超过</w:t>
      </w: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20000元</w:t>
      </w:r>
      <w:r>
        <w:rPr>
          <w:rFonts w:hint="eastAsia" w:ascii="仿宋" w:hAnsi="仿宋" w:eastAsia="仿宋" w:cs="Times New Roman"/>
          <w:color w:val="000000" w:themeColor="text1"/>
          <w:sz w:val="28"/>
          <w:szCs w:val="28"/>
          <w:highlight w:val="none"/>
          <w:lang w:eastAsia="zh-CN"/>
          <w14:textFill>
            <w14:solidFill>
              <w14:schemeClr w14:val="tx1"/>
            </w14:solidFill>
          </w14:textFill>
        </w:rPr>
        <w:t>）</w:t>
      </w:r>
      <w:r>
        <w:rPr>
          <w:rFonts w:hint="eastAsia" w:ascii="仿宋" w:hAnsi="仿宋" w:eastAsia="仿宋" w:cs="Times New Roman"/>
          <w:color w:val="000000" w:themeColor="text1"/>
          <w:sz w:val="28"/>
          <w:szCs w:val="28"/>
          <w:highlight w:val="none"/>
          <w14:textFill>
            <w14:solidFill>
              <w14:schemeClr w14:val="tx1"/>
            </w14:solidFill>
          </w14:textFill>
        </w:rPr>
        <w:t>。</w:t>
      </w:r>
    </w:p>
    <w:p>
      <w:pPr>
        <w:spacing w:line="48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第二条  合同期限、项目费用及支付方式</w:t>
      </w:r>
    </w:p>
    <w:p>
      <w:pPr>
        <w:numPr>
          <w:ilvl w:val="0"/>
          <w:numId w:val="2"/>
        </w:numPr>
        <w:spacing w:line="480" w:lineRule="exact"/>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sz w:val="28"/>
          <w:szCs w:val="28"/>
          <w:highlight w:val="none"/>
        </w:rPr>
        <w:t>乙方向甲方提供服务的合同期限为</w:t>
      </w:r>
      <w:r>
        <w:rPr>
          <w:rFonts w:hint="eastAsia" w:ascii="仿宋" w:hAnsi="仿宋" w:eastAsia="仿宋" w:cs="仿宋"/>
          <w:color w:val="000000"/>
          <w:sz w:val="28"/>
          <w:szCs w:val="28"/>
          <w:highlight w:val="none"/>
          <w:u w:val="single"/>
        </w:rPr>
        <w:t>自本合同签订生效之日起</w:t>
      </w:r>
      <w:r>
        <w:rPr>
          <w:rFonts w:ascii="仿宋" w:hAnsi="仿宋" w:eastAsia="仿宋" w:cs="仿宋"/>
          <w:color w:val="000000"/>
          <w:sz w:val="28"/>
          <w:szCs w:val="28"/>
          <w:highlight w:val="none"/>
          <w:u w:val="single"/>
        </w:rPr>
        <w:t>至202</w:t>
      </w:r>
      <w:r>
        <w:rPr>
          <w:rFonts w:hint="eastAsia" w:ascii="仿宋" w:hAnsi="仿宋" w:eastAsia="仿宋" w:cs="仿宋"/>
          <w:color w:val="000000"/>
          <w:sz w:val="28"/>
          <w:szCs w:val="28"/>
          <w:highlight w:val="none"/>
          <w:u w:val="single"/>
        </w:rPr>
        <w:t>5</w:t>
      </w:r>
      <w:r>
        <w:rPr>
          <w:rFonts w:ascii="仿宋" w:hAnsi="仿宋" w:eastAsia="仿宋" w:cs="仿宋"/>
          <w:color w:val="000000"/>
          <w:sz w:val="28"/>
          <w:szCs w:val="28"/>
          <w:highlight w:val="none"/>
          <w:u w:val="single"/>
        </w:rPr>
        <w:t>年12月31日</w:t>
      </w:r>
      <w:r>
        <w:rPr>
          <w:rFonts w:hint="eastAsia" w:ascii="仿宋" w:hAnsi="仿宋" w:eastAsia="仿宋" w:cs="仿宋"/>
          <w:color w:val="000000"/>
          <w:sz w:val="28"/>
          <w:szCs w:val="28"/>
          <w:highlight w:val="none"/>
          <w:u w:val="single"/>
        </w:rPr>
        <w:t>。</w:t>
      </w:r>
    </w:p>
    <w:p>
      <w:pPr>
        <w:numPr>
          <w:ilvl w:val="0"/>
          <w:numId w:val="2"/>
        </w:numPr>
        <w:spacing w:line="480" w:lineRule="exact"/>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乙方向甲方提供服务可获得的项目技术服</w:t>
      </w:r>
      <w:r>
        <w:rPr>
          <w:rFonts w:hint="eastAsia" w:ascii="仿宋" w:hAnsi="仿宋" w:eastAsia="仿宋" w:cs="仿宋"/>
          <w:color w:val="000000"/>
          <w:sz w:val="28"/>
          <w:szCs w:val="28"/>
          <w:highlight w:val="none"/>
        </w:rPr>
        <w:t>务总费用（即项目总费用、含税价）为</w:t>
      </w:r>
      <w:r>
        <w:rPr>
          <w:rFonts w:hint="eastAsia" w:ascii="仿宋" w:hAnsi="仿宋" w:eastAsia="仿宋" w:cs="仿宋"/>
          <w:bCs/>
          <w:color w:val="000000" w:themeColor="text1"/>
          <w:sz w:val="28"/>
          <w:szCs w:val="28"/>
          <w:highlight w:val="none"/>
          <w:u w:val="single"/>
          <w14:textFill>
            <w14:solidFill>
              <w14:schemeClr w14:val="tx1"/>
            </w14:solidFill>
          </w14:textFill>
        </w:rPr>
        <w:t>人民币捌万元整（¥ 8</w:t>
      </w:r>
      <w:r>
        <w:rPr>
          <w:rFonts w:ascii="仿宋" w:hAnsi="仿宋" w:eastAsia="仿宋" w:cs="仿宋"/>
          <w:bCs/>
          <w:color w:val="000000" w:themeColor="text1"/>
          <w:sz w:val="28"/>
          <w:szCs w:val="28"/>
          <w:highlight w:val="none"/>
          <w:u w:val="single"/>
          <w14:textFill>
            <w14:solidFill>
              <w14:schemeClr w14:val="tx1"/>
            </w14:solidFill>
          </w14:textFill>
        </w:rPr>
        <w:t>0，0</w:t>
      </w:r>
      <w:r>
        <w:rPr>
          <w:rFonts w:hint="eastAsia" w:ascii="仿宋" w:hAnsi="仿宋" w:eastAsia="仿宋" w:cs="仿宋"/>
          <w:bCs/>
          <w:color w:val="000000" w:themeColor="text1"/>
          <w:sz w:val="28"/>
          <w:szCs w:val="28"/>
          <w:highlight w:val="none"/>
          <w:u w:val="single"/>
          <w14:textFill>
            <w14:solidFill>
              <w14:schemeClr w14:val="tx1"/>
            </w14:solidFill>
          </w14:textFill>
        </w:rPr>
        <w:t>00.00元）</w:t>
      </w:r>
      <w:r>
        <w:rPr>
          <w:rFonts w:hint="eastAsia" w:ascii="仿宋" w:hAnsi="仿宋" w:eastAsia="仿宋" w:cs="仿宋"/>
          <w:bCs/>
          <w:color w:val="666666"/>
          <w:sz w:val="28"/>
          <w:szCs w:val="28"/>
          <w:highlight w:val="none"/>
          <w:shd w:val="clear" w:color="auto" w:fill="FFFFFF"/>
        </w:rPr>
        <w:t>。</w:t>
      </w:r>
    </w:p>
    <w:p>
      <w:pPr>
        <w:numPr>
          <w:ilvl w:val="0"/>
          <w:numId w:val="2"/>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sz w:val="28"/>
          <w:szCs w:val="28"/>
          <w:highlight w:val="none"/>
        </w:rPr>
        <w:t>付款时间、方式</w:t>
      </w:r>
      <w:r>
        <w:rPr>
          <w:rFonts w:hint="eastAsia" w:ascii="仿宋" w:hAnsi="仿宋" w:eastAsia="仿宋" w:cs="仿宋"/>
          <w:color w:val="000000" w:themeColor="text1"/>
          <w:sz w:val="28"/>
          <w:szCs w:val="28"/>
          <w:highlight w:val="none"/>
          <w14:textFill>
            <w14:solidFill>
              <w14:schemeClr w14:val="tx1"/>
            </w14:solidFill>
          </w14:textFill>
        </w:rPr>
        <w:t>。</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双方签署合同后，甲方分两期支付相应的款项给乙方：</w:t>
      </w:r>
    </w:p>
    <w:p>
      <w:pPr>
        <w:numPr>
          <w:ilvl w:val="0"/>
          <w:numId w:val="3"/>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第一期：甲、乙双方签订本合同后，甲方收到乙方开具的相对应金额发票之日起30个工作日内，向乙方支付项目总费用的</w:t>
      </w:r>
      <w:r>
        <w:rPr>
          <w:rFonts w:ascii="仿宋" w:hAnsi="仿宋" w:eastAsia="仿宋" w:cs="仿宋"/>
          <w:color w:val="000000" w:themeColor="text1"/>
          <w:sz w:val="28"/>
          <w:szCs w:val="28"/>
          <w:highlight w:val="none"/>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0%，即</w:t>
      </w:r>
      <w:r>
        <w:rPr>
          <w:rFonts w:hint="eastAsia" w:ascii="仿宋" w:hAnsi="仿宋" w:eastAsia="仿宋" w:cs="仿宋"/>
          <w:color w:val="000000" w:themeColor="text1"/>
          <w:sz w:val="28"/>
          <w:szCs w:val="28"/>
          <w:highlight w:val="none"/>
          <w:u w:val="single"/>
          <w14:textFill>
            <w14:solidFill>
              <w14:schemeClr w14:val="tx1"/>
            </w14:solidFill>
          </w14:textFill>
        </w:rPr>
        <w:t>人民币肆</w:t>
      </w:r>
      <w:r>
        <w:rPr>
          <w:rFonts w:ascii="仿宋" w:hAnsi="仿宋" w:eastAsia="仿宋" w:cs="仿宋"/>
          <w:color w:val="000000" w:themeColor="text1"/>
          <w:sz w:val="28"/>
          <w:szCs w:val="28"/>
          <w:highlight w:val="none"/>
          <w:u w:val="single"/>
          <w14:textFill>
            <w14:solidFill>
              <w14:schemeClr w14:val="tx1"/>
            </w14:solidFill>
          </w14:textFill>
        </w:rPr>
        <w:t>万</w:t>
      </w:r>
      <w:r>
        <w:rPr>
          <w:rFonts w:hint="eastAsia" w:ascii="仿宋" w:hAnsi="仿宋" w:eastAsia="仿宋" w:cs="仿宋"/>
          <w:color w:val="000000" w:themeColor="text1"/>
          <w:sz w:val="28"/>
          <w:szCs w:val="28"/>
          <w:highlight w:val="none"/>
          <w:u w:val="single"/>
          <w14:textFill>
            <w14:solidFill>
              <w14:schemeClr w14:val="tx1"/>
            </w14:solidFill>
          </w14:textFill>
        </w:rPr>
        <w:t>元整（</w:t>
      </w:r>
      <w:r>
        <w:rPr>
          <w:rFonts w:hint="eastAsia" w:ascii="仿宋" w:hAnsi="仿宋" w:eastAsia="仿宋" w:cs="仿宋"/>
          <w:bCs/>
          <w:color w:val="000000" w:themeColor="text1"/>
          <w:sz w:val="28"/>
          <w:szCs w:val="28"/>
          <w:highlight w:val="none"/>
          <w:u w:val="single"/>
          <w14:textFill>
            <w14:solidFill>
              <w14:schemeClr w14:val="tx1"/>
            </w14:solidFill>
          </w14:textFill>
        </w:rPr>
        <w:t>¥4</w:t>
      </w:r>
      <w:r>
        <w:rPr>
          <w:rFonts w:ascii="仿宋" w:hAnsi="仿宋" w:eastAsia="仿宋" w:cs="仿宋"/>
          <w:bCs/>
          <w:color w:val="000000" w:themeColor="text1"/>
          <w:sz w:val="28"/>
          <w:szCs w:val="28"/>
          <w:highlight w:val="none"/>
          <w:u w:val="single"/>
          <w14:textFill>
            <w14:solidFill>
              <w14:schemeClr w14:val="tx1"/>
            </w14:solidFill>
          </w14:textFill>
        </w:rPr>
        <w:t>0</w:t>
      </w:r>
      <w:r>
        <w:rPr>
          <w:rFonts w:hint="eastAsia" w:ascii="仿宋" w:hAnsi="仿宋" w:eastAsia="仿宋" w:cs="仿宋"/>
          <w:bCs/>
          <w:color w:val="000000" w:themeColor="text1"/>
          <w:sz w:val="28"/>
          <w:szCs w:val="28"/>
          <w:highlight w:val="none"/>
          <w:u w:val="single"/>
          <w14:textFill>
            <w14:solidFill>
              <w14:schemeClr w14:val="tx1"/>
            </w14:solidFill>
          </w14:textFill>
        </w:rPr>
        <w:t>,</w:t>
      </w:r>
      <w:r>
        <w:rPr>
          <w:rFonts w:ascii="仿宋" w:hAnsi="仿宋" w:eastAsia="仿宋" w:cs="仿宋"/>
          <w:bCs/>
          <w:color w:val="000000" w:themeColor="text1"/>
          <w:sz w:val="28"/>
          <w:szCs w:val="28"/>
          <w:highlight w:val="none"/>
          <w:u w:val="single"/>
          <w14:textFill>
            <w14:solidFill>
              <w14:schemeClr w14:val="tx1"/>
            </w14:solidFill>
          </w14:textFill>
        </w:rPr>
        <w:t>0</w:t>
      </w:r>
      <w:r>
        <w:rPr>
          <w:rFonts w:hint="eastAsia" w:ascii="仿宋" w:hAnsi="仿宋" w:eastAsia="仿宋" w:cs="仿宋"/>
          <w:bCs/>
          <w:color w:val="000000" w:themeColor="text1"/>
          <w:sz w:val="28"/>
          <w:szCs w:val="28"/>
          <w:highlight w:val="none"/>
          <w:u w:val="single"/>
          <w14:textFill>
            <w14:solidFill>
              <w14:schemeClr w14:val="tx1"/>
            </w14:solidFill>
          </w14:textFill>
        </w:rPr>
        <w:t>0</w:t>
      </w:r>
      <w:r>
        <w:rPr>
          <w:rFonts w:ascii="仿宋" w:hAnsi="仿宋" w:eastAsia="仿宋" w:cs="仿宋"/>
          <w:bCs/>
          <w:color w:val="000000" w:themeColor="text1"/>
          <w:sz w:val="28"/>
          <w:szCs w:val="28"/>
          <w:highlight w:val="none"/>
          <w:u w:val="single"/>
          <w14:textFill>
            <w14:solidFill>
              <w14:schemeClr w14:val="tx1"/>
            </w14:solidFill>
          </w14:textFill>
        </w:rPr>
        <w:t>0</w:t>
      </w:r>
      <w:r>
        <w:rPr>
          <w:rFonts w:hint="eastAsia" w:ascii="仿宋" w:hAnsi="仿宋" w:eastAsia="仿宋" w:cs="仿宋"/>
          <w:bCs/>
          <w:color w:val="000000" w:themeColor="text1"/>
          <w:sz w:val="28"/>
          <w:szCs w:val="28"/>
          <w:highlight w:val="none"/>
          <w:u w:val="single"/>
          <w14:textFill>
            <w14:solidFill>
              <w14:schemeClr w14:val="tx1"/>
            </w14:solidFill>
          </w14:textFill>
        </w:rPr>
        <w:t>.00元</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pPr>
        <w:numPr>
          <w:ilvl w:val="0"/>
          <w:numId w:val="3"/>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第二期：待项目经甲方验收合格后，甲方再次凭收到乙方开具等额有效的发票之日起30个工作日内支付剩余项目费用给乙方，即</w:t>
      </w:r>
      <w:r>
        <w:rPr>
          <w:rFonts w:hint="eastAsia" w:ascii="仿宋" w:hAnsi="仿宋" w:eastAsia="仿宋" w:cs="仿宋"/>
          <w:color w:val="000000" w:themeColor="text1"/>
          <w:sz w:val="28"/>
          <w:szCs w:val="28"/>
          <w:highlight w:val="none"/>
          <w:u w:val="single"/>
          <w14:textFill>
            <w14:solidFill>
              <w14:schemeClr w14:val="tx1"/>
            </w14:solidFill>
          </w14:textFill>
        </w:rPr>
        <w:t>人民币肆</w:t>
      </w:r>
      <w:r>
        <w:rPr>
          <w:rFonts w:ascii="仿宋" w:hAnsi="仿宋" w:eastAsia="仿宋" w:cs="仿宋"/>
          <w:color w:val="000000" w:themeColor="text1"/>
          <w:sz w:val="28"/>
          <w:szCs w:val="28"/>
          <w:highlight w:val="none"/>
          <w:u w:val="single"/>
          <w14:textFill>
            <w14:solidFill>
              <w14:schemeClr w14:val="tx1"/>
            </w14:solidFill>
          </w14:textFill>
        </w:rPr>
        <w:t>万</w:t>
      </w:r>
      <w:r>
        <w:rPr>
          <w:rFonts w:hint="eastAsia" w:ascii="仿宋" w:hAnsi="仿宋" w:eastAsia="仿宋" w:cs="仿宋"/>
          <w:color w:val="000000" w:themeColor="text1"/>
          <w:sz w:val="28"/>
          <w:szCs w:val="28"/>
          <w:highlight w:val="none"/>
          <w:u w:val="single"/>
          <w14:textFill>
            <w14:solidFill>
              <w14:schemeClr w14:val="tx1"/>
            </w14:solidFill>
          </w14:textFill>
        </w:rPr>
        <w:t>元整（</w:t>
      </w:r>
      <w:r>
        <w:rPr>
          <w:rFonts w:hint="eastAsia" w:ascii="仿宋" w:hAnsi="仿宋" w:eastAsia="仿宋" w:cs="仿宋"/>
          <w:bCs/>
          <w:color w:val="000000" w:themeColor="text1"/>
          <w:sz w:val="28"/>
          <w:szCs w:val="28"/>
          <w:highlight w:val="none"/>
          <w:u w:val="single"/>
          <w14:textFill>
            <w14:solidFill>
              <w14:schemeClr w14:val="tx1"/>
            </w14:solidFill>
          </w14:textFill>
        </w:rPr>
        <w:t>¥4</w:t>
      </w:r>
      <w:r>
        <w:rPr>
          <w:rFonts w:ascii="仿宋" w:hAnsi="仿宋" w:eastAsia="仿宋" w:cs="仿宋"/>
          <w:bCs/>
          <w:color w:val="000000" w:themeColor="text1"/>
          <w:sz w:val="28"/>
          <w:szCs w:val="28"/>
          <w:highlight w:val="none"/>
          <w:u w:val="single"/>
          <w14:textFill>
            <w14:solidFill>
              <w14:schemeClr w14:val="tx1"/>
            </w14:solidFill>
          </w14:textFill>
        </w:rPr>
        <w:t>0</w:t>
      </w:r>
      <w:r>
        <w:rPr>
          <w:rFonts w:hint="eastAsia" w:ascii="仿宋" w:hAnsi="仿宋" w:eastAsia="仿宋" w:cs="仿宋"/>
          <w:bCs/>
          <w:color w:val="000000" w:themeColor="text1"/>
          <w:sz w:val="28"/>
          <w:szCs w:val="28"/>
          <w:highlight w:val="none"/>
          <w:u w:val="single"/>
          <w14:textFill>
            <w14:solidFill>
              <w14:schemeClr w14:val="tx1"/>
            </w14:solidFill>
          </w14:textFill>
        </w:rPr>
        <w:t>,</w:t>
      </w:r>
      <w:r>
        <w:rPr>
          <w:rFonts w:ascii="仿宋" w:hAnsi="仿宋" w:eastAsia="仿宋" w:cs="仿宋"/>
          <w:bCs/>
          <w:color w:val="000000" w:themeColor="text1"/>
          <w:sz w:val="28"/>
          <w:szCs w:val="28"/>
          <w:highlight w:val="none"/>
          <w:u w:val="single"/>
          <w14:textFill>
            <w14:solidFill>
              <w14:schemeClr w14:val="tx1"/>
            </w14:solidFill>
          </w14:textFill>
        </w:rPr>
        <w:t>0</w:t>
      </w:r>
      <w:r>
        <w:rPr>
          <w:rFonts w:hint="eastAsia" w:ascii="仿宋" w:hAnsi="仿宋" w:eastAsia="仿宋" w:cs="仿宋"/>
          <w:bCs/>
          <w:color w:val="000000" w:themeColor="text1"/>
          <w:sz w:val="28"/>
          <w:szCs w:val="28"/>
          <w:highlight w:val="none"/>
          <w:u w:val="single"/>
          <w14:textFill>
            <w14:solidFill>
              <w14:schemeClr w14:val="tx1"/>
            </w14:solidFill>
          </w14:textFill>
        </w:rPr>
        <w:t>0</w:t>
      </w:r>
      <w:r>
        <w:rPr>
          <w:rFonts w:ascii="仿宋" w:hAnsi="仿宋" w:eastAsia="仿宋" w:cs="仿宋"/>
          <w:bCs/>
          <w:color w:val="000000" w:themeColor="text1"/>
          <w:sz w:val="28"/>
          <w:szCs w:val="28"/>
          <w:highlight w:val="none"/>
          <w:u w:val="single"/>
          <w14:textFill>
            <w14:solidFill>
              <w14:schemeClr w14:val="tx1"/>
            </w14:solidFill>
          </w14:textFill>
        </w:rPr>
        <w:t>0</w:t>
      </w:r>
      <w:r>
        <w:rPr>
          <w:rFonts w:hint="eastAsia" w:ascii="仿宋" w:hAnsi="仿宋" w:eastAsia="仿宋" w:cs="仿宋"/>
          <w:bCs/>
          <w:color w:val="000000" w:themeColor="text1"/>
          <w:sz w:val="28"/>
          <w:szCs w:val="28"/>
          <w:highlight w:val="none"/>
          <w:u w:val="single"/>
          <w14:textFill>
            <w14:solidFill>
              <w14:schemeClr w14:val="tx1"/>
            </w14:solidFill>
          </w14:textFill>
        </w:rPr>
        <w:t>.00元</w:t>
      </w:r>
      <w:r>
        <w:rPr>
          <w:rFonts w:hint="eastAsia" w:ascii="仿宋" w:hAnsi="仿宋" w:eastAsia="仿宋" w:cs="仿宋"/>
          <w:color w:val="000000" w:themeColor="text1"/>
          <w:sz w:val="28"/>
          <w:szCs w:val="28"/>
          <w:highlight w:val="none"/>
          <w:u w:val="singl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pPr>
        <w:numPr>
          <w:ilvl w:val="0"/>
          <w:numId w:val="3"/>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宋体"/>
          <w:color w:val="000000"/>
          <w:kern w:val="0"/>
          <w:sz w:val="28"/>
          <w:szCs w:val="28"/>
          <w:highlight w:val="none"/>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numPr>
          <w:ilvl w:val="0"/>
          <w:numId w:val="2"/>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乙方账户信息如下：</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开户名：</w:t>
      </w:r>
      <w:r>
        <w:rPr>
          <w:rFonts w:ascii="仿宋" w:hAnsi="仿宋" w:eastAsia="仿宋" w:cs="仿宋"/>
          <w:color w:val="000000" w:themeColor="text1"/>
          <w:sz w:val="28"/>
          <w:szCs w:val="28"/>
          <w:highlight w:val="none"/>
          <w:u w:val="single"/>
          <w14:textFill>
            <w14:solidFill>
              <w14:schemeClr w14:val="tx1"/>
            </w14:solidFill>
          </w14:textFill>
        </w:rPr>
        <w:t xml:space="preserve">                        </w:t>
      </w:r>
    </w:p>
    <w:p>
      <w:pPr>
        <w:spacing w:line="480" w:lineRule="exact"/>
        <w:ind w:firstLine="560" w:firstLineChars="200"/>
        <w:rPr>
          <w:rFonts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开户行：</w:t>
      </w:r>
      <w:r>
        <w:rPr>
          <w:rFonts w:ascii="仿宋" w:hAnsi="仿宋" w:eastAsia="仿宋" w:cs="仿宋"/>
          <w:color w:val="000000" w:themeColor="text1"/>
          <w:sz w:val="28"/>
          <w:szCs w:val="28"/>
          <w:highlight w:val="none"/>
          <w:u w:val="single"/>
          <w14:textFill>
            <w14:solidFill>
              <w14:schemeClr w14:val="tx1"/>
            </w14:solidFill>
          </w14:textFill>
        </w:rPr>
        <w:t xml:space="preserve">                        </w:t>
      </w:r>
    </w:p>
    <w:p>
      <w:pPr>
        <w:spacing w:line="480" w:lineRule="exact"/>
        <w:ind w:firstLine="560" w:firstLineChars="200"/>
        <w:rPr>
          <w:rFonts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账  号：</w:t>
      </w:r>
      <w:r>
        <w:rPr>
          <w:rFonts w:ascii="仿宋" w:hAnsi="仿宋" w:eastAsia="仿宋" w:cs="仿宋"/>
          <w:color w:val="000000" w:themeColor="text1"/>
          <w:sz w:val="28"/>
          <w:szCs w:val="28"/>
          <w:highlight w:val="none"/>
          <w:u w:val="single"/>
          <w14:textFill>
            <w14:solidFill>
              <w14:schemeClr w14:val="tx1"/>
            </w14:solidFill>
          </w14:textFill>
        </w:rPr>
        <w:t xml:space="preserve">                        </w:t>
      </w:r>
    </w:p>
    <w:p>
      <w:pPr>
        <w:pStyle w:val="9"/>
        <w:numPr>
          <w:ilvl w:val="0"/>
          <w:numId w:val="2"/>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甲方开票信息如下：</w:t>
      </w:r>
    </w:p>
    <w:p>
      <w:pPr>
        <w:pStyle w:val="9"/>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单位名称：江门市市场监督管理局</w:t>
      </w:r>
    </w:p>
    <w:p>
      <w:pPr>
        <w:pStyle w:val="9"/>
        <w:spacing w:line="480" w:lineRule="exact"/>
        <w:ind w:firstLine="560" w:firstLineChars="200"/>
        <w:rPr>
          <w:rFonts w:ascii="仿宋" w:hAnsi="仿宋" w:eastAsia="仿宋" w:cs="仿宋"/>
          <w:color w:val="000000" w:themeColor="text1"/>
          <w:sz w:val="28"/>
          <w:szCs w:val="28"/>
          <w:highlight w:val="none"/>
          <w:lang w:bidi="ar"/>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统一</w:t>
      </w:r>
      <w:r>
        <w:rPr>
          <w:rFonts w:hint="eastAsia" w:ascii="仿宋" w:hAnsi="仿宋" w:eastAsia="仿宋" w:cs="仿宋"/>
          <w:color w:val="000000" w:themeColor="text1"/>
          <w:sz w:val="28"/>
          <w:szCs w:val="28"/>
          <w:highlight w:val="none"/>
          <w:lang w:eastAsia="zh-CN" w:bidi="ar"/>
          <w14:textFill>
            <w14:solidFill>
              <w14:schemeClr w14:val="tx1"/>
            </w14:solidFill>
          </w14:textFill>
        </w:rPr>
        <w:t>社会</w:t>
      </w:r>
      <w:bookmarkStart w:id="0" w:name="_GoBack"/>
      <w:bookmarkEnd w:id="0"/>
      <w:r>
        <w:rPr>
          <w:rFonts w:hint="eastAsia" w:ascii="仿宋" w:hAnsi="仿宋" w:eastAsia="仿宋" w:cs="仿宋"/>
          <w:color w:val="000000" w:themeColor="text1"/>
          <w:sz w:val="28"/>
          <w:szCs w:val="28"/>
          <w:highlight w:val="none"/>
          <w:lang w:bidi="ar"/>
          <w14:textFill>
            <w14:solidFill>
              <w14:schemeClr w14:val="tx1"/>
            </w14:solidFill>
          </w14:textFill>
        </w:rPr>
        <w:t>信用代码：11440700MB2C90725T</w:t>
      </w:r>
    </w:p>
    <w:p>
      <w:pPr>
        <w:spacing w:line="480" w:lineRule="exact"/>
        <w:rPr>
          <w:rFonts w:ascii="仿宋" w:hAnsi="仿宋" w:eastAsia="仿宋" w:cs="仿宋"/>
          <w:color w:val="666666"/>
          <w:sz w:val="28"/>
          <w:szCs w:val="28"/>
          <w:highlight w:val="none"/>
          <w:shd w:val="clear" w:color="auto" w:fill="FFFFFF"/>
        </w:rPr>
      </w:pPr>
      <w:r>
        <w:rPr>
          <w:rFonts w:hint="eastAsia" w:ascii="仿宋" w:hAnsi="仿宋" w:eastAsia="仿宋" w:cs="仿宋"/>
          <w:b/>
          <w:bCs/>
          <w:color w:val="000000" w:themeColor="text1"/>
          <w:sz w:val="28"/>
          <w:szCs w:val="28"/>
          <w:highlight w:val="none"/>
          <w14:textFill>
            <w14:solidFill>
              <w14:schemeClr w14:val="tx1"/>
            </w14:solidFill>
          </w14:textFill>
        </w:rPr>
        <w:t>第三条  验收方式</w:t>
      </w:r>
      <w:r>
        <w:rPr>
          <w:rFonts w:hint="eastAsia" w:ascii="仿宋" w:hAnsi="仿宋" w:eastAsia="仿宋" w:cs="仿宋"/>
          <w:color w:val="666666"/>
          <w:sz w:val="28"/>
          <w:szCs w:val="28"/>
          <w:highlight w:val="none"/>
          <w:shd w:val="clear" w:color="auto" w:fill="FFFFFF"/>
        </w:rPr>
        <w:t xml:space="preserve"> </w:t>
      </w:r>
    </w:p>
    <w:p>
      <w:pPr>
        <w:numPr>
          <w:ilvl w:val="0"/>
          <w:numId w:val="4"/>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验收时间：本项目结束之日起</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14:textFill>
            <w14:solidFill>
              <w14:schemeClr w14:val="tx1"/>
            </w14:solidFill>
          </w14:textFill>
        </w:rPr>
        <w:t>个工作日内，乙方应按采购公告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4"/>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验收标准：由甲方依据国家、省、市制定的法律法规政策、</w:t>
      </w:r>
      <w:r>
        <w:rPr>
          <w:rFonts w:hint="eastAsia" w:ascii="仿宋" w:hAnsi="仿宋" w:eastAsia="仿宋" w:cs="仿宋"/>
          <w:bCs/>
          <w:color w:val="000000" w:themeColor="text1"/>
          <w:sz w:val="28"/>
          <w:szCs w:val="28"/>
          <w:highlight w:val="none"/>
          <w14:textFill>
            <w14:solidFill>
              <w14:schemeClr w14:val="tx1"/>
            </w14:solidFill>
          </w14:textFill>
        </w:rPr>
        <w:t>行业规范或标准以及招标公告、本合同约定的技术、服务标准进行验收。</w:t>
      </w:r>
    </w:p>
    <w:p>
      <w:pPr>
        <w:numPr>
          <w:ilvl w:val="0"/>
          <w:numId w:val="4"/>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经甲方验收不</w:t>
      </w:r>
      <w:r>
        <w:rPr>
          <w:rFonts w:hint="eastAsia" w:ascii="仿宋" w:hAnsi="仿宋" w:eastAsia="仿宋" w:cs="仿宋"/>
          <w:color w:val="000000" w:themeColor="text1"/>
          <w:sz w:val="28"/>
          <w:szCs w:val="28"/>
          <w:highlight w:val="none"/>
          <w14:textFill>
            <w14:solidFill>
              <w14:schemeClr w14:val="tx1"/>
            </w14:solidFill>
          </w14:textFill>
        </w:rPr>
        <w:t>合格</w:t>
      </w:r>
      <w:r>
        <w:rPr>
          <w:rFonts w:hint="eastAsia" w:ascii="仿宋" w:hAnsi="仿宋" w:eastAsia="仿宋" w:cs="仿宋"/>
          <w:bCs/>
          <w:color w:val="000000" w:themeColor="text1"/>
          <w:sz w:val="28"/>
          <w:szCs w:val="28"/>
          <w:highlight w:val="none"/>
          <w14:textFill>
            <w14:solidFill>
              <w14:schemeClr w14:val="tx1"/>
            </w14:solidFill>
          </w14:textFill>
        </w:rPr>
        <w:t>的，乙方应在甲方指定期限内采取弥补措施并再次提交给甲方验收；验收合格后由甲方和乙方共同签字确认并作为结算及甲方支付第二期款项的依据。</w:t>
      </w:r>
    </w:p>
    <w:p>
      <w:pPr>
        <w:spacing w:line="48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第四条  甲方的权利和义务</w:t>
      </w:r>
    </w:p>
    <w:p>
      <w:pPr>
        <w:numPr>
          <w:ilvl w:val="0"/>
          <w:numId w:val="5"/>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甲方为乙方提供项目实施中所需的相关协助；</w:t>
      </w:r>
    </w:p>
    <w:p>
      <w:pPr>
        <w:numPr>
          <w:ilvl w:val="0"/>
          <w:numId w:val="5"/>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项目实施期间，甲方有权向乙方提出建议或具体要求；</w:t>
      </w:r>
    </w:p>
    <w:p>
      <w:pPr>
        <w:numPr>
          <w:ilvl w:val="0"/>
          <w:numId w:val="5"/>
        </w:num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color w:val="000000" w:themeColor="text1"/>
          <w:sz w:val="28"/>
          <w:szCs w:val="28"/>
          <w:highlight w:val="none"/>
          <w14:textFill>
            <w14:solidFill>
              <w14:schemeClr w14:val="tx1"/>
            </w14:solidFill>
          </w14:textFill>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5"/>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若甲方发现有问题，乙方应当在接到甲方的质疑之日2日内提供相关说明；若甲方</w:t>
      </w:r>
      <w:r>
        <w:rPr>
          <w:rFonts w:ascii="仿宋" w:hAnsi="仿宋" w:eastAsia="仿宋" w:cs="仿宋"/>
          <w:color w:val="000000" w:themeColor="text1"/>
          <w:sz w:val="28"/>
          <w:szCs w:val="28"/>
          <w:highlight w:val="none"/>
          <w14:textFill>
            <w14:solidFill>
              <w14:schemeClr w14:val="tx1"/>
            </w14:solidFill>
          </w14:textFill>
        </w:rPr>
        <w:t>认为</w:t>
      </w:r>
      <w:r>
        <w:rPr>
          <w:rFonts w:hint="eastAsia" w:ascii="仿宋" w:hAnsi="仿宋" w:eastAsia="仿宋" w:cs="仿宋"/>
          <w:color w:val="000000" w:themeColor="text1"/>
          <w:sz w:val="28"/>
          <w:szCs w:val="28"/>
          <w:highlight w:val="none"/>
          <w14:textFill>
            <w14:solidFill>
              <w14:schemeClr w14:val="tx1"/>
            </w14:solidFill>
          </w14:textFill>
        </w:rPr>
        <w:t>需要</w:t>
      </w:r>
      <w:r>
        <w:rPr>
          <w:rFonts w:ascii="仿宋" w:hAnsi="仿宋" w:eastAsia="仿宋" w:cs="仿宋"/>
          <w:color w:val="000000" w:themeColor="text1"/>
          <w:sz w:val="28"/>
          <w:szCs w:val="28"/>
          <w:highlight w:val="none"/>
          <w14:textFill>
            <w14:solidFill>
              <w14:schemeClr w14:val="tx1"/>
            </w14:solidFill>
          </w14:textFill>
        </w:rPr>
        <w:t>整改的</w:t>
      </w:r>
      <w:r>
        <w:rPr>
          <w:rFonts w:hint="eastAsia" w:ascii="仿宋" w:hAnsi="仿宋" w:eastAsia="仿宋" w:cs="仿宋"/>
          <w:color w:val="000000" w:themeColor="text1"/>
          <w:sz w:val="28"/>
          <w:szCs w:val="28"/>
          <w:highlight w:val="none"/>
          <w14:textFill>
            <w14:solidFill>
              <w14:schemeClr w14:val="tx1"/>
            </w14:solidFill>
          </w14:textFill>
        </w:rPr>
        <w:t>，乙方应当</w:t>
      </w:r>
      <w:r>
        <w:rPr>
          <w:rFonts w:ascii="仿宋" w:hAnsi="仿宋" w:eastAsia="仿宋" w:cs="仿宋"/>
          <w:color w:val="000000" w:themeColor="text1"/>
          <w:sz w:val="28"/>
          <w:szCs w:val="28"/>
          <w:highlight w:val="none"/>
          <w14:textFill>
            <w14:solidFill>
              <w14:schemeClr w14:val="tx1"/>
            </w14:solidFill>
          </w14:textFill>
        </w:rPr>
        <w:t>根据</w:t>
      </w:r>
      <w:r>
        <w:rPr>
          <w:rFonts w:hint="eastAsia" w:ascii="仿宋" w:hAnsi="仿宋" w:eastAsia="仿宋" w:cs="仿宋"/>
          <w:color w:val="000000" w:themeColor="text1"/>
          <w:sz w:val="28"/>
          <w:szCs w:val="28"/>
          <w:highlight w:val="none"/>
          <w14:textFill>
            <w14:solidFill>
              <w14:schemeClr w14:val="tx1"/>
            </w14:solidFill>
          </w14:textFill>
        </w:rPr>
        <w:t>甲方</w:t>
      </w:r>
      <w:r>
        <w:rPr>
          <w:rFonts w:ascii="仿宋" w:hAnsi="仿宋" w:eastAsia="仿宋" w:cs="仿宋"/>
          <w:color w:val="000000" w:themeColor="text1"/>
          <w:sz w:val="28"/>
          <w:szCs w:val="28"/>
          <w:highlight w:val="none"/>
          <w14:textFill>
            <w14:solidFill>
              <w14:schemeClr w14:val="tx1"/>
            </w14:solidFill>
          </w14:textFill>
        </w:rPr>
        <w:t>要求整改至甲方认为合格为止；若乙方拒绝整改，则视为乙方违约</w:t>
      </w:r>
      <w:r>
        <w:rPr>
          <w:rFonts w:hint="eastAsia" w:ascii="仿宋" w:hAnsi="仿宋" w:eastAsia="仿宋" w:cs="仿宋"/>
          <w:color w:val="000000" w:themeColor="text1"/>
          <w:sz w:val="28"/>
          <w:szCs w:val="28"/>
          <w:highlight w:val="none"/>
          <w14:textFill>
            <w14:solidFill>
              <w14:schemeClr w14:val="tx1"/>
            </w14:solidFill>
          </w14:textFill>
        </w:rPr>
        <w:t>。</w:t>
      </w:r>
    </w:p>
    <w:p>
      <w:pPr>
        <w:numPr>
          <w:ilvl w:val="0"/>
          <w:numId w:val="5"/>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甲方按本合同约定向乙方支付项目费用。</w:t>
      </w:r>
    </w:p>
    <w:p>
      <w:pPr>
        <w:numPr>
          <w:ilvl w:val="0"/>
          <w:numId w:val="5"/>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甲方应及时进行验收以及按约定配合乙方的其他工作。</w:t>
      </w:r>
    </w:p>
    <w:p>
      <w:pPr>
        <w:spacing w:line="48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第五条  乙方的权利和义务</w:t>
      </w:r>
    </w:p>
    <w:p>
      <w:pPr>
        <w:numPr>
          <w:ilvl w:val="0"/>
          <w:numId w:val="6"/>
        </w:numPr>
        <w:adjustRightInd w:val="0"/>
        <w:snapToGrid w:val="0"/>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根据甲方要求做出工作实施方案，并完成项目内容以及确保提供服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color w:val="000000" w:themeColor="text1"/>
          <w:sz w:val="28"/>
          <w:szCs w:val="28"/>
          <w:highlight w:val="none"/>
          <w14:textFill>
            <w14:solidFill>
              <w14:schemeClr w14:val="tx1"/>
            </w14:solidFill>
          </w14:textFill>
        </w:rPr>
        <w:t>。</w:t>
      </w:r>
    </w:p>
    <w:p>
      <w:pPr>
        <w:numPr>
          <w:ilvl w:val="0"/>
          <w:numId w:val="6"/>
        </w:numPr>
        <w:adjustRightInd w:val="0"/>
        <w:snapToGrid w:val="0"/>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项目在本合同履行过程中，非因乙方原因有可能致使合同履行失败或者部分失败的，乙方应在知晓该等事项之日起1个工作日内通知甲方，同时采取措施减少损失</w:t>
      </w:r>
      <w:r>
        <w:rPr>
          <w:rFonts w:hint="eastAsia" w:ascii="仿宋" w:hAnsi="仿宋" w:eastAsia="仿宋" w:cs="仿宋"/>
          <w:color w:val="000000" w:themeColor="text1"/>
          <w:sz w:val="28"/>
          <w:szCs w:val="28"/>
          <w:highlight w:val="none"/>
          <w14:textFill>
            <w14:solidFill>
              <w14:schemeClr w14:val="tx1"/>
            </w14:solidFill>
          </w14:textFill>
        </w:rPr>
        <w:t>。</w:t>
      </w:r>
    </w:p>
    <w:p>
      <w:pPr>
        <w:numPr>
          <w:ilvl w:val="0"/>
          <w:numId w:val="6"/>
        </w:numPr>
        <w:adjustRightInd w:val="0"/>
        <w:snapToGrid w:val="0"/>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因乙方原因致使合同全部或者部分不能履行的，乙方承担合同不能履行的全部风险及责任，甲方不予支付未履行部分的合同价款给乙方</w:t>
      </w:r>
      <w:r>
        <w:rPr>
          <w:rFonts w:hint="eastAsia" w:ascii="仿宋" w:hAnsi="仿宋" w:eastAsia="仿宋" w:cs="仿宋"/>
          <w:color w:val="000000" w:themeColor="text1"/>
          <w:sz w:val="28"/>
          <w:szCs w:val="28"/>
          <w:highlight w:val="none"/>
          <w14:textFill>
            <w14:solidFill>
              <w14:schemeClr w14:val="tx1"/>
            </w14:solidFill>
          </w14:textFill>
        </w:rPr>
        <w:t>。</w:t>
      </w:r>
    </w:p>
    <w:p>
      <w:pPr>
        <w:spacing w:line="48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第六条  保密条款</w:t>
      </w:r>
    </w:p>
    <w:p>
      <w:pPr>
        <w:spacing w:line="480" w:lineRule="exact"/>
        <w:ind w:firstLine="560" w:firstLineChars="200"/>
        <w:rPr>
          <w:rFonts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highlight w:val="none"/>
        </w:rPr>
        <w:t>否则，乙方应当依法承担相应的法律责任</w:t>
      </w:r>
      <w:r>
        <w:rPr>
          <w:rFonts w:hint="eastAsia" w:ascii="仿宋" w:hAnsi="仿宋" w:eastAsia="仿宋" w:cs="仿宋"/>
          <w:color w:val="000000" w:themeColor="text1"/>
          <w:sz w:val="28"/>
          <w:szCs w:val="28"/>
          <w:highlight w:val="none"/>
          <w:lang w:bidi="ar"/>
          <w14:textFill>
            <w14:solidFill>
              <w14:schemeClr w14:val="tx1"/>
            </w14:solidFill>
          </w14:textFill>
        </w:rPr>
        <w:t>包括但不限于律师费、诉讼费、赔偿款、交通费、调查费等</w:t>
      </w:r>
      <w:r>
        <w:rPr>
          <w:rFonts w:hint="eastAsia" w:ascii="仿宋" w:hAnsi="仿宋" w:eastAsia="仿宋" w:cs="仿宋"/>
          <w:color w:val="000000" w:themeColor="text1"/>
          <w:sz w:val="28"/>
          <w:szCs w:val="28"/>
          <w:highlight w:val="none"/>
          <w14:textFill>
            <w14:solidFill>
              <w14:schemeClr w14:val="tx1"/>
            </w14:solidFill>
          </w14:textFill>
        </w:rPr>
        <w:t>。前述信息资料</w:t>
      </w:r>
      <w:r>
        <w:rPr>
          <w:rFonts w:hint="eastAsia" w:ascii="仿宋" w:hAnsi="仿宋" w:eastAsia="仿宋" w:cs="仿宋"/>
          <w:color w:val="000000" w:themeColor="text1"/>
          <w:sz w:val="28"/>
          <w:szCs w:val="28"/>
          <w:highlight w:val="none"/>
          <w:lang w:val="zh-CN"/>
          <w14:textFill>
            <w14:solidFill>
              <w14:schemeClr w14:val="tx1"/>
            </w14:solidFill>
          </w14:textFill>
        </w:rPr>
        <w:t>均属于永久保密期限范围，均对乙方有约束力，不因合同的变更、解除、终止而终止。</w:t>
      </w:r>
    </w:p>
    <w:p>
      <w:pPr>
        <w:spacing w:line="48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第七条  不可抗力</w:t>
      </w:r>
    </w:p>
    <w:p>
      <w:pPr>
        <w:numPr>
          <w:ilvl w:val="0"/>
          <w:numId w:val="7"/>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第八条  违约责任</w:t>
      </w:r>
    </w:p>
    <w:p>
      <w:pPr>
        <w:numPr>
          <w:ilvl w:val="0"/>
          <w:numId w:val="8"/>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甲方的违约责任：</w:t>
      </w:r>
    </w:p>
    <w:p>
      <w:pPr>
        <w:numPr>
          <w:ilvl w:val="0"/>
          <w:numId w:val="0"/>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甲方未按本合同约定向乙方支付款项的，乙方有权要求甲方按照逾期支付款项的日万分之一向乙方支付违约金，但因乙方自身原因造成的除外。</w:t>
      </w:r>
    </w:p>
    <w:p>
      <w:pPr>
        <w:numPr>
          <w:ilvl w:val="0"/>
          <w:numId w:val="8"/>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乙方的违约责任：</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1.乙方未按照合同约定及时提交项目成果性文件或逾期完成项目工作的，从逾期之日起，甲方有权要求乙方按本项目总费用的日千分之一向甲方支付违约金直到乙方提交或者完成之日止。</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（1）乙方逾期提交项目成果性文件或者逾期完成项目工作超过15日以上的；</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（3）未经甲方同意，乙方将本合同项目部分或全部技术服务工作转让第三人负责的。</w:t>
      </w:r>
    </w:p>
    <w:p>
      <w:p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第九条  双方确定，出现下列情形，致使本合同的履行成为不必要或不能的，可以解除本合同：</w:t>
      </w:r>
    </w:p>
    <w:p>
      <w:pPr>
        <w:numPr>
          <w:ilvl w:val="0"/>
          <w:numId w:val="9"/>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发生不可抗力。</w:t>
      </w:r>
    </w:p>
    <w:p>
      <w:pPr>
        <w:numPr>
          <w:ilvl w:val="0"/>
          <w:numId w:val="9"/>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因一方违约使合同不能继续履行或没有必要继续履行。</w:t>
      </w:r>
    </w:p>
    <w:p>
      <w:pPr>
        <w:numPr>
          <w:ilvl w:val="0"/>
          <w:numId w:val="9"/>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出现法律法规或国家政策规定等特定情形导致合同不能继续履行。</w:t>
      </w:r>
    </w:p>
    <w:p>
      <w:pPr>
        <w:spacing w:line="48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第十条  争议的解决办法</w:t>
      </w:r>
    </w:p>
    <w:p>
      <w:pPr>
        <w:numPr>
          <w:ilvl w:val="255"/>
          <w:numId w:val="0"/>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第十一条 其他</w:t>
      </w:r>
    </w:p>
    <w:p>
      <w:pPr>
        <w:numPr>
          <w:ilvl w:val="0"/>
          <w:numId w:val="10"/>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color w:val="000000" w:themeColor="text1"/>
          <w:sz w:val="28"/>
          <w:szCs w:val="28"/>
          <w:highlight w:val="none"/>
          <w14:textFill>
            <w14:solidFill>
              <w14:schemeClr w14:val="tx1"/>
            </w14:solidFill>
          </w14:textFill>
        </w:rPr>
        <w:t>。</w:t>
      </w:r>
    </w:p>
    <w:p>
      <w:pPr>
        <w:numPr>
          <w:ilvl w:val="0"/>
          <w:numId w:val="10"/>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本合同一式肆份，自甲、乙双方签字和盖章后生效。甲方执叁份、乙方执壹份，具有同等法律效力。</w:t>
      </w:r>
    </w:p>
    <w:p>
      <w:pPr>
        <w:pStyle w:val="10"/>
        <w:numPr>
          <w:ilvl w:val="0"/>
          <w:numId w:val="10"/>
        </w:numPr>
        <w:ind w:firstLineChars="0"/>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以下为本合同附件，与本合同具有同等效力：</w:t>
      </w:r>
    </w:p>
    <w:p>
      <w:pPr>
        <w:pStyle w:val="10"/>
        <w:numPr>
          <w:ilvl w:val="0"/>
          <w:numId w:val="11"/>
        </w:numPr>
        <w:ind w:left="0" w:firstLine="608"/>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2025年度</w:t>
      </w:r>
      <w:r>
        <w:rPr>
          <w:rFonts w:ascii="仿宋" w:hAnsi="仿宋" w:eastAsia="仿宋" w:cs="仿宋"/>
          <w:color w:val="000000" w:themeColor="text1"/>
          <w:szCs w:val="28"/>
          <w:highlight w:val="none"/>
          <w14:textFill>
            <w14:solidFill>
              <w14:schemeClr w14:val="tx1"/>
            </w14:solidFill>
          </w14:textFill>
        </w:rPr>
        <w:t>江门市市场监督管理局</w:t>
      </w:r>
      <w:r>
        <w:rPr>
          <w:rFonts w:hint="eastAsia" w:ascii="仿宋" w:hAnsi="仿宋" w:eastAsia="仿宋" w:cs="仿宋"/>
          <w:color w:val="000000" w:themeColor="text1"/>
          <w:szCs w:val="28"/>
          <w:highlight w:val="none"/>
          <w14:textFill>
            <w14:solidFill>
              <w14:schemeClr w14:val="tx1"/>
            </w14:solidFill>
          </w14:textFill>
        </w:rPr>
        <w:t>公平竞争审查第三方评估服务项目采购公告；</w:t>
      </w:r>
    </w:p>
    <w:p>
      <w:pPr>
        <w:pStyle w:val="10"/>
        <w:numPr>
          <w:ilvl w:val="0"/>
          <w:numId w:val="11"/>
        </w:numPr>
        <w:ind w:firstLine="608"/>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江门市市场监督管理局相关项目采购结果公告；</w:t>
      </w:r>
    </w:p>
    <w:p>
      <w:pPr>
        <w:pStyle w:val="10"/>
        <w:numPr>
          <w:ilvl w:val="0"/>
          <w:numId w:val="11"/>
        </w:numPr>
        <w:ind w:firstLine="608"/>
        <w:rPr>
          <w:rFonts w:ascii="仿宋" w:hAnsi="仿宋" w:eastAsia="仿宋" w:cs="仿宋"/>
          <w:color w:val="000000" w:themeColor="text1"/>
          <w:szCs w:val="28"/>
          <w:highlight w:val="none"/>
          <w14:textFill>
            <w14:solidFill>
              <w14:schemeClr w14:val="tx1"/>
            </w14:solidFill>
          </w14:textFill>
        </w:rPr>
      </w:pPr>
      <w:r>
        <w:rPr>
          <w:rFonts w:hint="eastAsia" w:ascii="仿宋" w:hAnsi="仿宋" w:eastAsia="仿宋" w:cs="仿宋"/>
          <w:color w:val="000000" w:themeColor="text1"/>
          <w:szCs w:val="28"/>
          <w:highlight w:val="none"/>
          <w14:textFill>
            <w14:solidFill>
              <w14:schemeClr w14:val="tx1"/>
            </w14:solidFill>
          </w14:textFill>
        </w:rPr>
        <w:t>其他附件及补充协议等资料。</w:t>
      </w:r>
    </w:p>
    <w:p>
      <w:pPr>
        <w:spacing w:before="156" w:beforeLines="50"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（以下无正文）</w:t>
      </w:r>
    </w:p>
    <w:p>
      <w:pPr>
        <w:spacing w:line="480" w:lineRule="exact"/>
        <w:rPr>
          <w:rFonts w:ascii="仿宋" w:hAnsi="仿宋" w:eastAsia="仿宋" w:cs="仿宋"/>
          <w:color w:val="000000" w:themeColor="text1"/>
          <w:sz w:val="28"/>
          <w:szCs w:val="28"/>
          <w:highlight w:val="none"/>
          <w14:textFill>
            <w14:solidFill>
              <w14:schemeClr w14:val="tx1"/>
            </w14:solidFill>
          </w14:textFill>
        </w:rPr>
      </w:pPr>
    </w:p>
    <w:p>
      <w:pPr>
        <w:pStyle w:val="10"/>
        <w:ind w:firstLine="608"/>
        <w:rPr>
          <w:rFonts w:ascii="仿宋" w:hAnsi="仿宋" w:eastAsia="仿宋" w:cs="仿宋"/>
          <w:color w:val="000000" w:themeColor="text1"/>
          <w:szCs w:val="28"/>
          <w:highlight w:val="none"/>
          <w14:textFill>
            <w14:solidFill>
              <w14:schemeClr w14:val="tx1"/>
            </w14:solidFill>
          </w14:textFill>
        </w:rPr>
      </w:pPr>
    </w:p>
    <w:p>
      <w:pPr>
        <w:spacing w:line="480" w:lineRule="exact"/>
        <w:ind w:firstLine="562"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甲方</w:t>
      </w:r>
      <w:r>
        <w:rPr>
          <w:rFonts w:hint="eastAsia" w:ascii="仿宋" w:hAnsi="仿宋" w:eastAsia="仿宋" w:cs="仿宋"/>
          <w:color w:val="000000" w:themeColor="text1"/>
          <w:sz w:val="28"/>
          <w:szCs w:val="28"/>
          <w:highlight w:val="none"/>
          <w14:textFill>
            <w14:solidFill>
              <w14:schemeClr w14:val="tx1"/>
            </w14:solidFill>
          </w14:textFill>
        </w:rPr>
        <w:t xml:space="preserve">：江门市市场监督管理局  </w:t>
      </w:r>
    </w:p>
    <w:p>
      <w:pPr>
        <w:spacing w:line="480" w:lineRule="exact"/>
        <w:ind w:firstLine="2240" w:firstLineChars="8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法定代表人或授权委托人：（签字）    </w:t>
      </w:r>
    </w:p>
    <w:p>
      <w:pPr>
        <w:spacing w:line="480" w:lineRule="exact"/>
        <w:ind w:firstLine="1960" w:firstLineChars="7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p>
      <w:p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w:t>
      </w:r>
    </w:p>
    <w:p>
      <w:pPr>
        <w:spacing w:line="480" w:lineRule="exact"/>
        <w:ind w:firstLine="56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乙方</w:t>
      </w:r>
      <w:r>
        <w:rPr>
          <w:rFonts w:hint="eastAsia" w:ascii="仿宋" w:hAnsi="仿宋" w:eastAsia="仿宋" w:cs="仿宋"/>
          <w:color w:val="000000" w:themeColor="text1"/>
          <w:sz w:val="28"/>
          <w:szCs w:val="28"/>
          <w:highlight w:val="none"/>
          <w14:textFill>
            <w14:solidFill>
              <w14:schemeClr w14:val="tx1"/>
            </w14:solidFill>
          </w14:textFill>
        </w:rPr>
        <w:t>：</w:t>
      </w:r>
    </w:p>
    <w:p>
      <w:pPr>
        <w:spacing w:line="480" w:lineRule="exact"/>
        <w:ind w:firstLine="2419" w:firstLineChars="864"/>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法定代表人或授权委托人：（签字）</w:t>
      </w:r>
    </w:p>
    <w:p>
      <w:pPr>
        <w:spacing w:line="480" w:lineRule="exact"/>
        <w:ind w:firstLine="1960" w:firstLineChars="7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F7A1F48"/>
    <w:multiLevelType w:val="singleLevel"/>
    <w:tmpl w:val="DF7A1F48"/>
    <w:lvl w:ilvl="0" w:tentative="0">
      <w:start w:val="1"/>
      <w:numFmt w:val="chineseCounting"/>
      <w:suff w:val="nothing"/>
      <w:lvlText w:val="（%1）"/>
      <w:lvlJc w:val="left"/>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8"/>
  </w:num>
  <w:num w:numId="4">
    <w:abstractNumId w:val="9"/>
  </w:num>
  <w:num w:numId="5">
    <w:abstractNumId w:val="10"/>
  </w:num>
  <w:num w:numId="6">
    <w:abstractNumId w:val="1"/>
  </w:num>
  <w:num w:numId="7">
    <w:abstractNumId w:val="6"/>
  </w:num>
  <w:num w:numId="8">
    <w:abstractNumId w:val="5"/>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2526ED"/>
    <w:rsid w:val="00396B5E"/>
    <w:rsid w:val="007C0537"/>
    <w:rsid w:val="009403DA"/>
    <w:rsid w:val="00966675"/>
    <w:rsid w:val="00A53291"/>
    <w:rsid w:val="00AE5953"/>
    <w:rsid w:val="00F669F7"/>
    <w:rsid w:val="09D77ACF"/>
    <w:rsid w:val="09DE0A66"/>
    <w:rsid w:val="0A9FCD40"/>
    <w:rsid w:val="0BEA35C3"/>
    <w:rsid w:val="0DDF3CA5"/>
    <w:rsid w:val="0FB72321"/>
    <w:rsid w:val="10FC4243"/>
    <w:rsid w:val="171724B5"/>
    <w:rsid w:val="1A19383D"/>
    <w:rsid w:val="20075F93"/>
    <w:rsid w:val="24EE444C"/>
    <w:rsid w:val="28F2788A"/>
    <w:rsid w:val="293A0576"/>
    <w:rsid w:val="2D016C87"/>
    <w:rsid w:val="391A5AE0"/>
    <w:rsid w:val="3B19643C"/>
    <w:rsid w:val="3EED22A1"/>
    <w:rsid w:val="3FA76621"/>
    <w:rsid w:val="404A6C17"/>
    <w:rsid w:val="43F43818"/>
    <w:rsid w:val="47C7B3FB"/>
    <w:rsid w:val="4B562BFB"/>
    <w:rsid w:val="4D261BEA"/>
    <w:rsid w:val="4DD70C4E"/>
    <w:rsid w:val="55FB442D"/>
    <w:rsid w:val="5789094D"/>
    <w:rsid w:val="5BB2671C"/>
    <w:rsid w:val="5FFC0F1C"/>
    <w:rsid w:val="690D3BC4"/>
    <w:rsid w:val="693B3F28"/>
    <w:rsid w:val="6B7E7578"/>
    <w:rsid w:val="6C7B1287"/>
    <w:rsid w:val="6F5F4F93"/>
    <w:rsid w:val="6FFBEB74"/>
    <w:rsid w:val="72AF67A9"/>
    <w:rsid w:val="76A81E4D"/>
    <w:rsid w:val="79276609"/>
    <w:rsid w:val="7EFEE140"/>
    <w:rsid w:val="BF260C02"/>
    <w:rsid w:val="D77E3663"/>
    <w:rsid w:val="DE7B6395"/>
    <w:rsid w:val="E7BD8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ody Text Indent 2"/>
    <w:basedOn w:val="1"/>
    <w:qFormat/>
    <w:uiPriority w:val="0"/>
    <w:pPr>
      <w:spacing w:line="400" w:lineRule="exact"/>
      <w:ind w:firstLine="420" w:firstLineChars="175"/>
    </w:pPr>
    <w:rPr>
      <w:sz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4"/>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3514</Words>
  <Characters>1309</Characters>
  <Lines>10</Lines>
  <Paragraphs>9</Paragraphs>
  <TotalTime>20</TotalTime>
  <ScaleCrop>false</ScaleCrop>
  <LinksUpToDate>false</LinksUpToDate>
  <CharactersWithSpaces>4814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2021-05-28T10:58:00Z</dcterms:created>
  <dc:creator>Administrator</dc:creator>
  <cp:lastModifiedBy>greatwall</cp:lastModifiedBy>
  <cp:lastPrinted>2024-04-05T16:23:00Z</cp:lastPrinted>
  <dcterms:modified xsi:type="dcterms:W3CDTF">2026-04-01T11:14:58Z</dcterms:modified>
  <dc:title>2020年江门市工业产品生产许可证证后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