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sz w:val="32"/>
          <w:szCs w:val="32"/>
        </w:rPr>
      </w:pPr>
      <w:r>
        <w:rPr>
          <w:rFonts w:hint="eastAsia" w:ascii="黑体" w:hAnsi="黑体" w:eastAsia="黑体"/>
          <w:sz w:val="32"/>
          <w:szCs w:val="32"/>
        </w:rPr>
        <w:t>附件3</w:t>
      </w: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jc w:val="center"/>
        <w:rPr>
          <w:rFonts w:hint="eastAsia" w:ascii="宋体" w:hAnsi="宋体"/>
          <w:b/>
          <w:sz w:val="44"/>
          <w:szCs w:val="44"/>
        </w:rPr>
      </w:pPr>
      <w:r>
        <w:rPr>
          <w:rFonts w:hint="eastAsia" w:ascii="宋体" w:hAnsi="宋体"/>
          <w:b/>
          <w:sz w:val="44"/>
          <w:szCs w:val="44"/>
        </w:rPr>
        <w:t>江门市食品检验所（江门市酒类检测中心）实验室仪器（真空平行浓缩仪及全自动水蒸气蒸馏仪）采购项目合同书</w:t>
      </w: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rPr>
      </w:pPr>
    </w:p>
    <w:p>
      <w:pPr>
        <w:rPr>
          <w:rFonts w:hint="eastAsia" w:ascii="宋体" w:hAnsi="宋体"/>
          <w:sz w:val="32"/>
          <w:szCs w:val="32"/>
          <w:u w:val="single"/>
        </w:rPr>
      </w:pPr>
      <w:r>
        <w:rPr>
          <w:rFonts w:hint="eastAsia" w:ascii="宋体" w:hAnsi="宋体"/>
          <w:sz w:val="32"/>
          <w:szCs w:val="32"/>
        </w:rPr>
        <w:t xml:space="preserve">甲    方：江门市食品检验所（江门市酒类检测中心）             </w:t>
      </w:r>
    </w:p>
    <w:p>
      <w:pPr>
        <w:rPr>
          <w:rFonts w:hint="eastAsia" w:ascii="宋体" w:hAnsi="宋体"/>
          <w:sz w:val="32"/>
          <w:szCs w:val="32"/>
        </w:rPr>
      </w:pPr>
      <w:r>
        <w:rPr>
          <w:rFonts w:hint="eastAsia" w:ascii="宋体" w:hAnsi="宋体"/>
          <w:sz w:val="32"/>
          <w:szCs w:val="32"/>
        </w:rPr>
        <w:t xml:space="preserve">电　　话： </w:t>
      </w:r>
    </w:p>
    <w:p>
      <w:pPr>
        <w:rPr>
          <w:rFonts w:hint="eastAsia" w:ascii="宋体" w:hAnsi="宋体"/>
          <w:sz w:val="32"/>
          <w:szCs w:val="32"/>
        </w:rPr>
      </w:pPr>
      <w:r>
        <w:rPr>
          <w:rFonts w:hint="eastAsia" w:ascii="宋体" w:hAnsi="宋体"/>
          <w:sz w:val="32"/>
          <w:szCs w:val="32"/>
        </w:rPr>
        <w:t>地　　址：</w:t>
      </w:r>
    </w:p>
    <w:p>
      <w:pPr>
        <w:rPr>
          <w:rFonts w:hint="eastAsia" w:ascii="宋体" w:hAnsi="宋体"/>
          <w:sz w:val="32"/>
          <w:szCs w:val="32"/>
        </w:rPr>
      </w:pPr>
    </w:p>
    <w:p>
      <w:pPr>
        <w:rPr>
          <w:rFonts w:hint="eastAsia" w:ascii="宋体" w:hAnsi="宋体"/>
          <w:sz w:val="32"/>
          <w:szCs w:val="32"/>
        </w:rPr>
      </w:pPr>
      <w:r>
        <w:rPr>
          <w:rFonts w:hint="eastAsia" w:ascii="宋体" w:hAnsi="宋体"/>
          <w:sz w:val="32"/>
          <w:szCs w:val="32"/>
        </w:rPr>
        <w:t>乙　　方：</w:t>
      </w:r>
    </w:p>
    <w:p>
      <w:pPr>
        <w:rPr>
          <w:rFonts w:hint="eastAsia" w:ascii="宋体" w:hAnsi="宋体"/>
          <w:sz w:val="32"/>
          <w:szCs w:val="32"/>
        </w:rPr>
      </w:pPr>
      <w:r>
        <w:rPr>
          <w:rFonts w:hint="eastAsia" w:ascii="宋体" w:hAnsi="宋体"/>
          <w:sz w:val="32"/>
          <w:szCs w:val="32"/>
        </w:rPr>
        <w:t xml:space="preserve">电　　话： </w:t>
      </w:r>
    </w:p>
    <w:p>
      <w:pPr>
        <w:rPr>
          <w:rFonts w:hint="eastAsia" w:ascii="宋体" w:hAnsi="宋体"/>
          <w:sz w:val="32"/>
          <w:szCs w:val="32"/>
        </w:rPr>
      </w:pPr>
      <w:r>
        <w:rPr>
          <w:rFonts w:hint="eastAsia" w:ascii="宋体" w:hAnsi="宋体"/>
          <w:sz w:val="32"/>
          <w:szCs w:val="32"/>
        </w:rPr>
        <w:t>地　　址：</w:t>
      </w:r>
    </w:p>
    <w:p>
      <w:pPr>
        <w:spacing w:line="600" w:lineRule="exact"/>
        <w:ind w:firstLine="640" w:firstLineChars="200"/>
        <w:rPr>
          <w:rFonts w:hint="eastAsia" w:ascii="宋体" w:hAnsi="宋体"/>
          <w:sz w:val="32"/>
          <w:szCs w:val="32"/>
        </w:rPr>
      </w:pPr>
    </w:p>
    <w:p>
      <w:pPr>
        <w:spacing w:line="600" w:lineRule="exact"/>
        <w:ind w:firstLine="640" w:firstLineChars="200"/>
        <w:rPr>
          <w:rFonts w:hint="eastAsia" w:ascii="宋体" w:hAnsi="宋体"/>
          <w:sz w:val="32"/>
          <w:szCs w:val="32"/>
        </w:rPr>
      </w:pPr>
      <w:r>
        <w:rPr>
          <w:rFonts w:hint="eastAsia" w:ascii="宋体" w:hAnsi="宋体"/>
          <w:sz w:val="32"/>
          <w:szCs w:val="32"/>
        </w:rPr>
        <w:t>根据</w:t>
      </w:r>
      <w:r>
        <w:rPr>
          <w:rFonts w:hint="eastAsia" w:ascii="宋体" w:hAnsi="宋体"/>
          <w:sz w:val="32"/>
          <w:szCs w:val="32"/>
          <w:u w:val="single"/>
        </w:rPr>
        <w:t xml:space="preserve">              </w:t>
      </w:r>
      <w:r>
        <w:rPr>
          <w:rFonts w:hint="eastAsia" w:ascii="宋体" w:hAnsi="宋体"/>
          <w:sz w:val="32"/>
          <w:szCs w:val="32"/>
        </w:rPr>
        <w:t>项目的采购结果，按照《中华人民共和国政府采购法》、《中华人民共和国民法典（合同编）》的规定，经双方协商，本着平等互利和诚实信用的原则，一致同意签订本合同如下。</w:t>
      </w:r>
    </w:p>
    <w:p>
      <w:pPr>
        <w:pStyle w:val="10"/>
        <w:spacing w:line="600" w:lineRule="exact"/>
        <w:ind w:firstLine="640"/>
        <w:rPr>
          <w:rFonts w:hint="eastAsia" w:ascii="宋体" w:hAnsi="宋体"/>
          <w:sz w:val="32"/>
          <w:szCs w:val="32"/>
        </w:rPr>
      </w:pPr>
      <w:r>
        <w:rPr>
          <w:rFonts w:hint="eastAsia" w:ascii="宋体" w:hAnsi="宋体"/>
          <w:sz w:val="32"/>
          <w:szCs w:val="32"/>
        </w:rPr>
        <w:t>一、货物内容</w:t>
      </w:r>
    </w:p>
    <w:tbl>
      <w:tblPr>
        <w:tblStyle w:val="5"/>
        <w:tblW w:w="0" w:type="auto"/>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517"/>
        <w:gridCol w:w="875"/>
        <w:gridCol w:w="524"/>
        <w:gridCol w:w="524"/>
        <w:gridCol w:w="1095"/>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noWrap w:val="0"/>
            <w:tcMar>
              <w:top w:w="30" w:type="dxa"/>
              <w:left w:w="60"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名称</w:t>
            </w:r>
          </w:p>
        </w:tc>
        <w:tc>
          <w:tcPr>
            <w:tcW w:w="3517" w:type="dxa"/>
            <w:noWrap w:val="0"/>
            <w:tcMar>
              <w:top w:w="30"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品牌、规格、标准/主要服务内容</w:t>
            </w:r>
          </w:p>
        </w:tc>
        <w:tc>
          <w:tcPr>
            <w:tcW w:w="875" w:type="dxa"/>
            <w:noWrap w:val="0"/>
            <w:tcMar>
              <w:top w:w="30"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产地</w:t>
            </w:r>
          </w:p>
        </w:tc>
        <w:tc>
          <w:tcPr>
            <w:tcW w:w="524" w:type="dxa"/>
            <w:noWrap w:val="0"/>
            <w:tcMar>
              <w:top w:w="30" w:type="dxa"/>
              <w:left w:w="75" w:type="dxa"/>
              <w:bottom w:w="30" w:type="dxa"/>
              <w:right w:w="60" w:type="dxa"/>
            </w:tcMar>
            <w:vAlign w:val="center"/>
          </w:tcPr>
          <w:p>
            <w:pPr>
              <w:pStyle w:val="11"/>
              <w:spacing w:before="150" w:after="150"/>
              <w:jc w:val="center"/>
              <w:rPr>
                <w:rFonts w:hint="default" w:ascii="宋体" w:hAnsi="宋体"/>
                <w:sz w:val="32"/>
                <w:szCs w:val="32"/>
              </w:rPr>
            </w:pPr>
            <w:r>
              <w:rPr>
                <w:rFonts w:ascii="宋体" w:hAnsi="宋体"/>
                <w:sz w:val="32"/>
                <w:szCs w:val="32"/>
              </w:rPr>
              <w:t>数量</w:t>
            </w:r>
          </w:p>
        </w:tc>
        <w:tc>
          <w:tcPr>
            <w:tcW w:w="524" w:type="dxa"/>
            <w:noWrap w:val="0"/>
            <w:tcMar>
              <w:top w:w="30"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单位</w:t>
            </w:r>
          </w:p>
        </w:tc>
        <w:tc>
          <w:tcPr>
            <w:tcW w:w="1095" w:type="dxa"/>
            <w:noWrap w:val="0"/>
            <w:tcMar>
              <w:top w:w="30"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单价</w:t>
            </w:r>
          </w:p>
          <w:p>
            <w:pPr>
              <w:pStyle w:val="11"/>
              <w:jc w:val="center"/>
              <w:rPr>
                <w:rFonts w:hint="default" w:ascii="宋体" w:hAnsi="宋体"/>
                <w:sz w:val="32"/>
                <w:szCs w:val="32"/>
              </w:rPr>
            </w:pPr>
            <w:r>
              <w:rPr>
                <w:rFonts w:ascii="宋体" w:hAnsi="宋体"/>
                <w:sz w:val="32"/>
                <w:szCs w:val="32"/>
              </w:rPr>
              <w:t>（元）</w:t>
            </w:r>
          </w:p>
        </w:tc>
        <w:tc>
          <w:tcPr>
            <w:tcW w:w="1095" w:type="dxa"/>
            <w:noWrap w:val="0"/>
            <w:tcMar>
              <w:top w:w="30"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金额</w:t>
            </w:r>
          </w:p>
          <w:p>
            <w:pPr>
              <w:pStyle w:val="11"/>
              <w:jc w:val="center"/>
              <w:rPr>
                <w:rFonts w:hint="default" w:ascii="宋体" w:hAnsi="宋体"/>
                <w:sz w:val="32"/>
                <w:szCs w:val="32"/>
              </w:rPr>
            </w:pPr>
            <w:r>
              <w:rPr>
                <w:rFonts w:ascii="宋体" w:hAnsi="宋体"/>
                <w:sz w:val="32"/>
                <w:szCs w:val="32"/>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noWrap w:val="0"/>
            <w:tcMar>
              <w:top w:w="45" w:type="dxa"/>
              <w:left w:w="60"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w:t>
            </w:r>
          </w:p>
        </w:tc>
        <w:tc>
          <w:tcPr>
            <w:tcW w:w="3517" w:type="dxa"/>
            <w:noWrap w:val="0"/>
            <w:tcMar>
              <w:top w:w="45"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w:t>
            </w:r>
          </w:p>
        </w:tc>
        <w:tc>
          <w:tcPr>
            <w:tcW w:w="875" w:type="dxa"/>
            <w:noWrap w:val="0"/>
            <w:tcMar>
              <w:top w:w="45"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w:t>
            </w:r>
          </w:p>
        </w:tc>
        <w:tc>
          <w:tcPr>
            <w:tcW w:w="524" w:type="dxa"/>
            <w:noWrap w:val="0"/>
            <w:tcMar>
              <w:top w:w="45"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w:t>
            </w:r>
          </w:p>
        </w:tc>
        <w:tc>
          <w:tcPr>
            <w:tcW w:w="524" w:type="dxa"/>
            <w:noWrap w:val="0"/>
            <w:tcMar>
              <w:top w:w="45"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w:t>
            </w:r>
          </w:p>
        </w:tc>
        <w:tc>
          <w:tcPr>
            <w:tcW w:w="1095" w:type="dxa"/>
            <w:noWrap w:val="0"/>
            <w:tcMar>
              <w:top w:w="45"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w:t>
            </w:r>
          </w:p>
        </w:tc>
        <w:tc>
          <w:tcPr>
            <w:tcW w:w="1095" w:type="dxa"/>
            <w:noWrap w:val="0"/>
            <w:tcMar>
              <w:top w:w="45"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1" w:type="dxa"/>
            <w:noWrap w:val="0"/>
            <w:tcMar>
              <w:top w:w="45" w:type="dxa"/>
              <w:left w:w="60" w:type="dxa"/>
              <w:bottom w:w="30" w:type="dxa"/>
              <w:right w:w="60" w:type="dxa"/>
            </w:tcMar>
            <w:vAlign w:val="center"/>
          </w:tcPr>
          <w:p>
            <w:pPr>
              <w:pStyle w:val="11"/>
              <w:jc w:val="center"/>
              <w:rPr>
                <w:rFonts w:hint="default" w:ascii="宋体" w:hAnsi="宋体"/>
                <w:sz w:val="32"/>
                <w:szCs w:val="32"/>
              </w:rPr>
            </w:pPr>
          </w:p>
        </w:tc>
        <w:tc>
          <w:tcPr>
            <w:tcW w:w="3517" w:type="dxa"/>
            <w:noWrap w:val="0"/>
            <w:tcMar>
              <w:top w:w="45" w:type="dxa"/>
              <w:left w:w="75" w:type="dxa"/>
              <w:bottom w:w="30" w:type="dxa"/>
              <w:right w:w="60" w:type="dxa"/>
            </w:tcMar>
            <w:vAlign w:val="center"/>
          </w:tcPr>
          <w:p>
            <w:pPr>
              <w:pStyle w:val="11"/>
              <w:jc w:val="center"/>
              <w:rPr>
                <w:rFonts w:hint="default" w:ascii="宋体" w:hAnsi="宋体"/>
                <w:sz w:val="32"/>
                <w:szCs w:val="32"/>
              </w:rPr>
            </w:pPr>
          </w:p>
        </w:tc>
        <w:tc>
          <w:tcPr>
            <w:tcW w:w="875" w:type="dxa"/>
            <w:noWrap w:val="0"/>
            <w:tcMar>
              <w:top w:w="45" w:type="dxa"/>
              <w:left w:w="75" w:type="dxa"/>
              <w:bottom w:w="30" w:type="dxa"/>
              <w:right w:w="60" w:type="dxa"/>
            </w:tcMar>
            <w:vAlign w:val="center"/>
          </w:tcPr>
          <w:p>
            <w:pPr>
              <w:pStyle w:val="11"/>
              <w:jc w:val="center"/>
              <w:rPr>
                <w:rFonts w:hint="default" w:ascii="宋体" w:hAnsi="宋体"/>
                <w:sz w:val="32"/>
                <w:szCs w:val="32"/>
              </w:rPr>
            </w:pPr>
          </w:p>
        </w:tc>
        <w:tc>
          <w:tcPr>
            <w:tcW w:w="524" w:type="dxa"/>
            <w:noWrap w:val="0"/>
            <w:tcMar>
              <w:top w:w="45" w:type="dxa"/>
              <w:left w:w="75" w:type="dxa"/>
              <w:bottom w:w="30" w:type="dxa"/>
              <w:right w:w="60" w:type="dxa"/>
            </w:tcMar>
            <w:vAlign w:val="center"/>
          </w:tcPr>
          <w:p>
            <w:pPr>
              <w:pStyle w:val="11"/>
              <w:jc w:val="center"/>
              <w:rPr>
                <w:rFonts w:hint="default" w:ascii="宋体" w:hAnsi="宋体"/>
                <w:sz w:val="32"/>
                <w:szCs w:val="32"/>
              </w:rPr>
            </w:pPr>
          </w:p>
        </w:tc>
        <w:tc>
          <w:tcPr>
            <w:tcW w:w="524" w:type="dxa"/>
            <w:noWrap w:val="0"/>
            <w:tcMar>
              <w:top w:w="45" w:type="dxa"/>
              <w:left w:w="75" w:type="dxa"/>
              <w:bottom w:w="30" w:type="dxa"/>
              <w:right w:w="60" w:type="dxa"/>
            </w:tcMar>
            <w:vAlign w:val="center"/>
          </w:tcPr>
          <w:p>
            <w:pPr>
              <w:pStyle w:val="11"/>
              <w:jc w:val="center"/>
              <w:rPr>
                <w:rFonts w:hint="default" w:ascii="宋体" w:hAnsi="宋体"/>
                <w:sz w:val="32"/>
                <w:szCs w:val="32"/>
              </w:rPr>
            </w:pPr>
          </w:p>
        </w:tc>
        <w:tc>
          <w:tcPr>
            <w:tcW w:w="1095" w:type="dxa"/>
            <w:noWrap w:val="0"/>
            <w:tcMar>
              <w:top w:w="45" w:type="dxa"/>
              <w:left w:w="75" w:type="dxa"/>
              <w:bottom w:w="30" w:type="dxa"/>
              <w:right w:w="60" w:type="dxa"/>
            </w:tcMar>
            <w:vAlign w:val="center"/>
          </w:tcPr>
          <w:p>
            <w:pPr>
              <w:pStyle w:val="11"/>
              <w:jc w:val="center"/>
              <w:rPr>
                <w:rFonts w:hint="default" w:ascii="宋体" w:hAnsi="宋体"/>
                <w:sz w:val="32"/>
                <w:szCs w:val="32"/>
              </w:rPr>
            </w:pPr>
          </w:p>
        </w:tc>
        <w:tc>
          <w:tcPr>
            <w:tcW w:w="1095" w:type="dxa"/>
            <w:noWrap w:val="0"/>
            <w:tcMar>
              <w:top w:w="45" w:type="dxa"/>
              <w:left w:w="75" w:type="dxa"/>
              <w:bottom w:w="30" w:type="dxa"/>
              <w:right w:w="60" w:type="dxa"/>
            </w:tcMar>
            <w:vAlign w:val="center"/>
          </w:tcPr>
          <w:p>
            <w:pPr>
              <w:pStyle w:val="11"/>
              <w:jc w:val="center"/>
              <w:rPr>
                <w:rFonts w:hint="default" w:ascii="宋体" w:hAnsi="宋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6" w:type="dxa"/>
            <w:gridSpan w:val="6"/>
            <w:noWrap w:val="0"/>
            <w:tcMar>
              <w:top w:w="45" w:type="dxa"/>
              <w:left w:w="60" w:type="dxa"/>
              <w:bottom w:w="30" w:type="dxa"/>
              <w:right w:w="60" w:type="dxa"/>
            </w:tcMar>
            <w:vAlign w:val="center"/>
          </w:tcPr>
          <w:p>
            <w:pPr>
              <w:pStyle w:val="11"/>
              <w:spacing w:before="150" w:after="150"/>
              <w:jc w:val="center"/>
              <w:rPr>
                <w:rFonts w:hint="default" w:ascii="宋体" w:hAnsi="宋体"/>
                <w:sz w:val="32"/>
                <w:szCs w:val="32"/>
              </w:rPr>
            </w:pPr>
            <w:r>
              <w:rPr>
                <w:rFonts w:ascii="宋体" w:hAnsi="宋体"/>
                <w:sz w:val="32"/>
                <w:szCs w:val="32"/>
              </w:rPr>
              <w:t>合计：人民币大写：**元整</w:t>
            </w:r>
          </w:p>
        </w:tc>
        <w:tc>
          <w:tcPr>
            <w:tcW w:w="1095" w:type="dxa"/>
            <w:noWrap w:val="0"/>
            <w:tcMar>
              <w:top w:w="45" w:type="dxa"/>
              <w:left w:w="75" w:type="dxa"/>
              <w:bottom w:w="30" w:type="dxa"/>
              <w:right w:w="60" w:type="dxa"/>
            </w:tcMar>
            <w:vAlign w:val="center"/>
          </w:tcPr>
          <w:p>
            <w:pPr>
              <w:pStyle w:val="11"/>
              <w:jc w:val="center"/>
              <w:rPr>
                <w:rFonts w:hint="default" w:ascii="宋体" w:hAnsi="宋体"/>
                <w:sz w:val="32"/>
                <w:szCs w:val="32"/>
              </w:rPr>
            </w:pPr>
            <w:r>
              <w:rPr>
                <w:rFonts w:ascii="宋体" w:hAnsi="宋体"/>
                <w:sz w:val="32"/>
                <w:szCs w:val="32"/>
              </w:rPr>
              <w:t>￥：**</w:t>
            </w:r>
          </w:p>
        </w:tc>
      </w:tr>
    </w:tbl>
    <w:p>
      <w:pPr>
        <w:spacing w:line="600" w:lineRule="exact"/>
        <w:ind w:firstLine="640" w:firstLineChars="200"/>
        <w:rPr>
          <w:rFonts w:ascii="宋体" w:hAnsi="宋体"/>
          <w:sz w:val="32"/>
          <w:szCs w:val="32"/>
        </w:rPr>
      </w:pPr>
    </w:p>
    <w:p>
      <w:pPr>
        <w:spacing w:line="600" w:lineRule="exact"/>
        <w:ind w:firstLine="640" w:firstLineChars="200"/>
        <w:rPr>
          <w:rFonts w:hint="eastAsia" w:ascii="宋体" w:hAnsi="宋体"/>
          <w:sz w:val="32"/>
          <w:szCs w:val="32"/>
        </w:rPr>
      </w:pPr>
      <w:r>
        <w:rPr>
          <w:rFonts w:hint="eastAsia" w:ascii="宋体" w:hAnsi="宋体"/>
          <w:sz w:val="32"/>
          <w:szCs w:val="32"/>
        </w:rPr>
        <w:t>合同总额包括乙方设计、安装、随机零配件、标配工具、运输保险、调试、培训、质保期服务、各项税费及合同实施过程中不可预见费用等。</w:t>
      </w:r>
    </w:p>
    <w:p>
      <w:pPr>
        <w:spacing w:line="600" w:lineRule="exact"/>
        <w:ind w:firstLine="640" w:firstLineChars="200"/>
        <w:rPr>
          <w:rFonts w:hint="eastAsia" w:ascii="宋体" w:hAnsi="宋体"/>
          <w:sz w:val="32"/>
          <w:szCs w:val="32"/>
        </w:rPr>
      </w:pPr>
      <w:r>
        <w:rPr>
          <w:rFonts w:hint="eastAsia" w:ascii="宋体" w:hAnsi="宋体"/>
          <w:sz w:val="32"/>
          <w:szCs w:val="32"/>
        </w:rPr>
        <w:t>注：货物名称内容必须与投标文件中货物名称内容一致。</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二、合同金额</w:t>
      </w:r>
    </w:p>
    <w:p>
      <w:pPr>
        <w:spacing w:line="600" w:lineRule="exact"/>
        <w:ind w:firstLine="640" w:firstLineChars="200"/>
        <w:rPr>
          <w:rFonts w:hint="eastAsia" w:ascii="宋体" w:hAnsi="宋体"/>
          <w:sz w:val="32"/>
          <w:szCs w:val="32"/>
        </w:rPr>
      </w:pPr>
      <w:r>
        <w:rPr>
          <w:rFonts w:hint="eastAsia" w:ascii="宋体" w:hAnsi="宋体"/>
          <w:sz w:val="32"/>
          <w:szCs w:val="32"/>
        </w:rPr>
        <w:t>合同金额为（大写）：_________________元（￥_______________元）人民币。</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三、设备要求</w:t>
      </w:r>
    </w:p>
    <w:p>
      <w:pPr>
        <w:spacing w:line="600" w:lineRule="exact"/>
        <w:ind w:firstLine="640" w:firstLineChars="200"/>
        <w:rPr>
          <w:rFonts w:hint="eastAsia" w:ascii="宋体" w:hAnsi="宋体"/>
          <w:sz w:val="32"/>
          <w:szCs w:val="32"/>
        </w:rPr>
      </w:pPr>
      <w:r>
        <w:rPr>
          <w:rFonts w:hint="eastAsia" w:ascii="宋体" w:hAnsi="宋体"/>
          <w:sz w:val="32"/>
          <w:szCs w:val="32"/>
        </w:rPr>
        <w:t>货物为原制造商制造的全新产品，整机无污染，无侵权行为、表面无划损、无任何缺陷隐患，在中国境内可依常规安全合法使用。</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四、交货期、交货方式及交货地点</w:t>
      </w:r>
    </w:p>
    <w:p>
      <w:pPr>
        <w:spacing w:line="600" w:lineRule="exact"/>
        <w:ind w:firstLine="640" w:firstLineChars="200"/>
        <w:rPr>
          <w:rFonts w:hint="eastAsia" w:ascii="宋体" w:hAnsi="宋体"/>
          <w:sz w:val="32"/>
          <w:szCs w:val="32"/>
        </w:rPr>
      </w:pPr>
      <w:r>
        <w:rPr>
          <w:rFonts w:hint="eastAsia" w:ascii="宋体" w:hAnsi="宋体"/>
          <w:sz w:val="32"/>
          <w:szCs w:val="32"/>
        </w:rPr>
        <w:t>1.交货期：</w:t>
      </w:r>
    </w:p>
    <w:p>
      <w:pPr>
        <w:spacing w:line="600" w:lineRule="exact"/>
        <w:ind w:firstLine="640" w:firstLineChars="200"/>
        <w:rPr>
          <w:rFonts w:hint="eastAsia" w:ascii="宋体" w:hAnsi="宋体"/>
          <w:sz w:val="32"/>
          <w:szCs w:val="32"/>
        </w:rPr>
      </w:pPr>
      <w:r>
        <w:rPr>
          <w:rFonts w:hint="eastAsia" w:ascii="宋体" w:hAnsi="宋体"/>
          <w:sz w:val="32"/>
          <w:szCs w:val="32"/>
        </w:rPr>
        <w:t>2.交货方式：</w:t>
      </w:r>
    </w:p>
    <w:p>
      <w:pPr>
        <w:spacing w:line="600" w:lineRule="exact"/>
        <w:ind w:firstLine="640" w:firstLineChars="200"/>
        <w:rPr>
          <w:rFonts w:hint="eastAsia" w:ascii="宋体" w:hAnsi="宋体"/>
          <w:sz w:val="32"/>
          <w:szCs w:val="32"/>
        </w:rPr>
      </w:pPr>
      <w:r>
        <w:rPr>
          <w:rFonts w:hint="eastAsia" w:ascii="宋体" w:hAnsi="宋体"/>
          <w:sz w:val="32"/>
          <w:szCs w:val="32"/>
        </w:rPr>
        <w:t>3.交货地点：</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五、付款方式</w:t>
      </w:r>
    </w:p>
    <w:p>
      <w:pPr>
        <w:spacing w:line="600" w:lineRule="exact"/>
        <w:ind w:firstLine="640" w:firstLineChars="200"/>
        <w:rPr>
          <w:rFonts w:hint="eastAsia" w:ascii="宋体" w:hAnsi="宋体"/>
          <w:sz w:val="32"/>
          <w:szCs w:val="32"/>
        </w:rPr>
      </w:pPr>
      <w:r>
        <w:rPr>
          <w:rFonts w:hint="eastAsia" w:ascii="宋体" w:hAnsi="宋体"/>
          <w:sz w:val="32"/>
          <w:szCs w:val="32"/>
        </w:rPr>
        <w:t>由甲方按下列程序在</w:t>
      </w:r>
      <w:r>
        <w:rPr>
          <w:rFonts w:hint="eastAsia" w:ascii="宋体" w:hAnsi="宋体"/>
          <w:sz w:val="32"/>
          <w:szCs w:val="32"/>
          <w:u w:val="single"/>
        </w:rPr>
        <w:t xml:space="preserve">        </w:t>
      </w:r>
      <w:r>
        <w:rPr>
          <w:rFonts w:hint="eastAsia" w:ascii="宋体" w:hAnsi="宋体"/>
          <w:sz w:val="32"/>
          <w:szCs w:val="32"/>
        </w:rPr>
        <w:t>内付款：</w:t>
      </w:r>
    </w:p>
    <w:p>
      <w:pPr>
        <w:spacing w:line="600" w:lineRule="exact"/>
        <w:ind w:firstLine="640" w:firstLineChars="200"/>
        <w:rPr>
          <w:rFonts w:hint="eastAsia" w:ascii="宋体" w:hAnsi="宋体"/>
          <w:sz w:val="32"/>
          <w:szCs w:val="32"/>
        </w:rPr>
      </w:pPr>
      <w:r>
        <w:rPr>
          <w:rFonts w:hint="eastAsia" w:ascii="宋体" w:hAnsi="宋体"/>
          <w:sz w:val="32"/>
          <w:szCs w:val="32"/>
        </w:rPr>
        <w:t>1.设备安装调试结束，提交全部报告材料，调试完成并验收合格后，支付合同金额的</w:t>
      </w:r>
      <w:r>
        <w:rPr>
          <w:rFonts w:hint="eastAsia" w:ascii="宋体" w:hAnsi="宋体"/>
          <w:sz w:val="32"/>
          <w:szCs w:val="32"/>
          <w:u w:val="single"/>
        </w:rPr>
        <w:t xml:space="preserve">      </w:t>
      </w:r>
      <w:r>
        <w:rPr>
          <w:rFonts w:hint="eastAsia" w:ascii="宋体" w:hAnsi="宋体"/>
          <w:sz w:val="32"/>
          <w:szCs w:val="32"/>
        </w:rPr>
        <w:t>%。</w:t>
      </w:r>
    </w:p>
    <w:p>
      <w:pPr>
        <w:spacing w:line="600" w:lineRule="exact"/>
        <w:ind w:firstLine="640" w:firstLineChars="200"/>
        <w:rPr>
          <w:rFonts w:hint="eastAsia" w:ascii="宋体" w:hAnsi="宋体"/>
          <w:sz w:val="32"/>
          <w:szCs w:val="32"/>
        </w:rPr>
      </w:pPr>
      <w:r>
        <w:rPr>
          <w:rFonts w:hint="eastAsia" w:ascii="宋体" w:hAnsi="宋体"/>
          <w:sz w:val="32"/>
          <w:szCs w:val="32"/>
        </w:rPr>
        <w:t>2.从验收合格之日起，正常使用</w:t>
      </w:r>
      <w:r>
        <w:rPr>
          <w:rFonts w:hint="eastAsia" w:ascii="宋体" w:hAnsi="宋体"/>
          <w:sz w:val="32"/>
          <w:szCs w:val="32"/>
          <w:u w:val="single"/>
        </w:rPr>
        <w:t xml:space="preserve">     </w:t>
      </w:r>
      <w:r>
        <w:rPr>
          <w:rFonts w:hint="eastAsia" w:ascii="宋体" w:hAnsi="宋体"/>
          <w:sz w:val="32"/>
          <w:szCs w:val="32"/>
        </w:rPr>
        <w:t>个月后，支付合同总价的</w:t>
      </w:r>
      <w:r>
        <w:rPr>
          <w:rFonts w:hint="eastAsia" w:ascii="宋体" w:hAnsi="宋体"/>
          <w:sz w:val="32"/>
          <w:szCs w:val="32"/>
          <w:u w:val="single"/>
        </w:rPr>
        <w:t xml:space="preserve">    </w:t>
      </w:r>
      <w:r>
        <w:rPr>
          <w:rFonts w:hint="eastAsia" w:ascii="宋体" w:hAnsi="宋体"/>
          <w:sz w:val="32"/>
          <w:szCs w:val="32"/>
        </w:rPr>
        <w:t>％。</w:t>
      </w:r>
    </w:p>
    <w:p>
      <w:pPr>
        <w:spacing w:line="600" w:lineRule="exact"/>
        <w:ind w:firstLine="640" w:firstLineChars="200"/>
        <w:rPr>
          <w:rFonts w:hint="eastAsia" w:ascii="宋体" w:hAnsi="宋体"/>
          <w:sz w:val="32"/>
          <w:szCs w:val="32"/>
        </w:rPr>
      </w:pPr>
      <w:r>
        <w:rPr>
          <w:rFonts w:hint="eastAsia" w:ascii="宋体" w:hAnsi="宋体"/>
          <w:sz w:val="32"/>
          <w:szCs w:val="32"/>
        </w:rPr>
        <w:t>3. 对于满足合同约定支付条件的，甲方应当自收到发票后30工作日内将资金支付到合同约定的乙方账户，不得以机构变动、人员更替、政策调整等为由延迟付款，不得将采购文件和合同中未规定的义务作为向乙方付款的条件。</w:t>
      </w:r>
    </w:p>
    <w:p>
      <w:pPr>
        <w:spacing w:line="540" w:lineRule="exact"/>
        <w:ind w:firstLine="640" w:firstLineChars="200"/>
        <w:rPr>
          <w:rFonts w:hint="eastAsia" w:ascii="宋体" w:hAnsi="宋体" w:cs="仿宋"/>
          <w:sz w:val="32"/>
          <w:szCs w:val="32"/>
        </w:rPr>
      </w:pPr>
      <w:r>
        <w:rPr>
          <w:rFonts w:hint="eastAsia" w:ascii="宋体" w:hAnsi="宋体"/>
          <w:sz w:val="32"/>
          <w:szCs w:val="32"/>
        </w:rPr>
        <w:t xml:space="preserve">4. </w:t>
      </w:r>
      <w:r>
        <w:rPr>
          <w:rFonts w:ascii="宋体" w:hAnsi="宋体" w:cs="仿宋"/>
          <w:sz w:val="32"/>
          <w:szCs w:val="32"/>
        </w:rPr>
        <w:t>因甲方使用的是财政资金，本条约定甲方付款时间为甲方向政府财政支付部门提交办理财政支付申请手续的时间（不含政府财政支付部门审核的时间）；甲方在前款约定的时间内提交支付申请手续后即视为甲方已经按期支付。如因财政资金的下达、拨付问题导致付款延迟的，</w:t>
      </w:r>
      <w:r>
        <w:rPr>
          <w:rFonts w:hint="eastAsia" w:ascii="宋体" w:hAnsi="宋体" w:cs="仿宋"/>
          <w:sz w:val="32"/>
          <w:szCs w:val="32"/>
        </w:rPr>
        <w:t>不视为甲方违约，乙方不能据此追究甲方逾期付款的违约责任。</w:t>
      </w:r>
    </w:p>
    <w:p>
      <w:pPr>
        <w:spacing w:line="540" w:lineRule="exact"/>
        <w:ind w:firstLine="640" w:firstLineChars="200"/>
        <w:rPr>
          <w:rFonts w:hint="eastAsia" w:ascii="宋体" w:hAnsi="宋体" w:cs="仿宋"/>
          <w:sz w:val="32"/>
          <w:szCs w:val="32"/>
        </w:rPr>
      </w:pPr>
      <w:r>
        <w:rPr>
          <w:rFonts w:hint="eastAsia" w:ascii="宋体" w:hAnsi="宋体" w:cs="仿宋"/>
          <w:sz w:val="32"/>
          <w:szCs w:val="32"/>
        </w:rPr>
        <w:t>5．乙方收款账户信息如下：</w:t>
      </w:r>
    </w:p>
    <w:p>
      <w:pPr>
        <w:spacing w:line="540" w:lineRule="exact"/>
        <w:ind w:firstLine="640" w:firstLineChars="200"/>
        <w:rPr>
          <w:rFonts w:hint="eastAsia" w:ascii="宋体" w:hAnsi="宋体" w:cs="仿宋"/>
          <w:sz w:val="32"/>
          <w:szCs w:val="32"/>
          <w:u w:val="single"/>
        </w:rPr>
      </w:pPr>
      <w:r>
        <w:rPr>
          <w:rFonts w:hint="eastAsia" w:ascii="宋体" w:hAnsi="宋体" w:cs="仿宋"/>
          <w:sz w:val="32"/>
          <w:szCs w:val="32"/>
        </w:rPr>
        <w:t>开户名：</w:t>
      </w:r>
      <w:r>
        <w:rPr>
          <w:rFonts w:hint="eastAsia" w:ascii="宋体" w:hAnsi="宋体" w:cs="仿宋"/>
          <w:sz w:val="32"/>
          <w:szCs w:val="32"/>
          <w:u w:val="single"/>
        </w:rPr>
        <w:t xml:space="preserve">                        </w:t>
      </w:r>
    </w:p>
    <w:p>
      <w:pPr>
        <w:spacing w:line="540" w:lineRule="exact"/>
        <w:ind w:firstLine="640" w:firstLineChars="200"/>
        <w:rPr>
          <w:rFonts w:hint="eastAsia" w:ascii="宋体" w:hAnsi="宋体" w:cs="仿宋"/>
          <w:sz w:val="32"/>
          <w:szCs w:val="32"/>
        </w:rPr>
      </w:pPr>
      <w:r>
        <w:rPr>
          <w:rFonts w:hint="eastAsia" w:ascii="宋体" w:hAnsi="宋体" w:cs="仿宋"/>
          <w:sz w:val="32"/>
          <w:szCs w:val="32"/>
        </w:rPr>
        <w:t>开户行：</w:t>
      </w:r>
      <w:r>
        <w:rPr>
          <w:rFonts w:hint="eastAsia" w:ascii="宋体" w:hAnsi="宋体" w:cs="仿宋"/>
          <w:sz w:val="32"/>
          <w:szCs w:val="32"/>
          <w:u w:val="single"/>
        </w:rPr>
        <w:t xml:space="preserve">                        </w:t>
      </w:r>
    </w:p>
    <w:p>
      <w:pPr>
        <w:spacing w:line="540" w:lineRule="exact"/>
        <w:ind w:firstLine="640" w:firstLineChars="200"/>
        <w:rPr>
          <w:rFonts w:hint="eastAsia" w:ascii="宋体" w:hAnsi="宋体" w:cs="仿宋"/>
          <w:sz w:val="32"/>
          <w:szCs w:val="32"/>
          <w:u w:val="single"/>
        </w:rPr>
      </w:pPr>
      <w:r>
        <w:rPr>
          <w:rFonts w:hint="eastAsia" w:ascii="宋体" w:hAnsi="宋体" w:cs="仿宋"/>
          <w:sz w:val="32"/>
          <w:szCs w:val="32"/>
        </w:rPr>
        <w:t>账  号：</w:t>
      </w:r>
      <w:r>
        <w:rPr>
          <w:rFonts w:hint="eastAsia" w:ascii="宋体" w:hAnsi="宋体" w:cs="仿宋"/>
          <w:sz w:val="32"/>
          <w:szCs w:val="32"/>
          <w:u w:val="single"/>
        </w:rPr>
        <w:t xml:space="preserve">                        </w:t>
      </w:r>
    </w:p>
    <w:p>
      <w:pPr>
        <w:spacing w:line="540" w:lineRule="exact"/>
        <w:ind w:firstLine="640" w:firstLineChars="200"/>
        <w:rPr>
          <w:rFonts w:hint="eastAsia" w:ascii="宋体" w:hAnsi="宋体" w:cs="仿宋"/>
          <w:sz w:val="32"/>
          <w:szCs w:val="32"/>
        </w:rPr>
      </w:pPr>
      <w:r>
        <w:rPr>
          <w:rFonts w:hint="eastAsia" w:ascii="宋体" w:hAnsi="宋体" w:cs="仿宋"/>
          <w:sz w:val="32"/>
          <w:szCs w:val="32"/>
        </w:rPr>
        <w:t>7．甲方开票信息如下：</w:t>
      </w:r>
    </w:p>
    <w:p>
      <w:pPr>
        <w:spacing w:line="540" w:lineRule="exact"/>
        <w:ind w:firstLine="640" w:firstLineChars="200"/>
        <w:rPr>
          <w:rFonts w:hint="eastAsia" w:ascii="宋体" w:hAnsi="宋体" w:cs="仿宋"/>
          <w:sz w:val="32"/>
          <w:szCs w:val="32"/>
        </w:rPr>
      </w:pPr>
      <w:r>
        <w:rPr>
          <w:rFonts w:hint="eastAsia" w:ascii="宋体" w:hAnsi="宋体" w:cs="仿宋"/>
          <w:sz w:val="32"/>
          <w:szCs w:val="32"/>
        </w:rPr>
        <w:t>单位名称：江门市食品检验所（江门市酒类检测中心）</w:t>
      </w:r>
    </w:p>
    <w:p>
      <w:pPr>
        <w:spacing w:line="540" w:lineRule="exact"/>
        <w:ind w:firstLine="640" w:firstLineChars="200"/>
        <w:rPr>
          <w:rFonts w:hint="eastAsia" w:ascii="宋体" w:hAnsi="宋体" w:cs="仿宋"/>
          <w:sz w:val="32"/>
          <w:szCs w:val="32"/>
        </w:rPr>
      </w:pPr>
      <w:r>
        <w:rPr>
          <w:rFonts w:hint="eastAsia" w:ascii="宋体" w:hAnsi="宋体" w:cs="仿宋"/>
          <w:sz w:val="32"/>
          <w:szCs w:val="32"/>
        </w:rPr>
        <w:t>统一</w:t>
      </w:r>
      <w:r>
        <w:rPr>
          <w:rFonts w:hint="eastAsia" w:ascii="宋体" w:hAnsi="宋体" w:cs="仿宋"/>
          <w:sz w:val="32"/>
          <w:szCs w:val="32"/>
          <w:lang w:eastAsia="zh-CN"/>
        </w:rPr>
        <w:t>社会</w:t>
      </w:r>
      <w:bookmarkStart w:id="0" w:name="_GoBack"/>
      <w:bookmarkEnd w:id="0"/>
      <w:r>
        <w:rPr>
          <w:rFonts w:hint="eastAsia" w:ascii="宋体" w:hAnsi="宋体" w:cs="仿宋"/>
          <w:sz w:val="32"/>
          <w:szCs w:val="32"/>
        </w:rPr>
        <w:t>信用代码：12440700MB2C44534G</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六、质保期及售后服务要求</w:t>
      </w:r>
    </w:p>
    <w:p>
      <w:pPr>
        <w:spacing w:line="600" w:lineRule="exact"/>
        <w:ind w:firstLine="640" w:firstLineChars="200"/>
        <w:rPr>
          <w:rFonts w:hint="eastAsia" w:ascii="宋体" w:hAnsi="宋体"/>
          <w:sz w:val="32"/>
          <w:szCs w:val="32"/>
        </w:rPr>
      </w:pPr>
      <w:r>
        <w:rPr>
          <w:rFonts w:hint="eastAsia" w:ascii="宋体" w:hAnsi="宋体"/>
          <w:sz w:val="32"/>
          <w:szCs w:val="32"/>
        </w:rPr>
        <w:t>1.本合同的质量保证期（简称“质保期”）为 **年，质保期内乙方对所供货物实行包修、包换、包退及合同约定的其它事项，期满后可同时提供终身（免费/有偿）维修保养服务。</w:t>
      </w:r>
    </w:p>
    <w:p>
      <w:pPr>
        <w:spacing w:line="600" w:lineRule="exact"/>
        <w:ind w:firstLine="640" w:firstLineChars="200"/>
        <w:rPr>
          <w:rFonts w:hint="eastAsia" w:ascii="宋体" w:hAnsi="宋体"/>
          <w:sz w:val="32"/>
          <w:szCs w:val="32"/>
        </w:rPr>
      </w:pPr>
      <w:r>
        <w:rPr>
          <w:rFonts w:hint="eastAsia" w:ascii="宋体" w:hAnsi="宋体"/>
          <w:sz w:val="32"/>
          <w:szCs w:val="32"/>
        </w:rPr>
        <w:t>2.质保期内，如设备或零部件因质量原因出现故障而造成短期停用时，则质保期和免费维修期相应顺延。如停用时间累计超过60天则质保期重新计算。</w:t>
      </w:r>
    </w:p>
    <w:p>
      <w:pPr>
        <w:spacing w:line="600" w:lineRule="exact"/>
        <w:ind w:firstLine="640" w:firstLineChars="200"/>
        <w:rPr>
          <w:rFonts w:hint="eastAsia" w:ascii="宋体" w:hAnsi="宋体"/>
          <w:sz w:val="32"/>
          <w:szCs w:val="32"/>
        </w:rPr>
      </w:pPr>
      <w:r>
        <w:rPr>
          <w:rFonts w:hint="eastAsia" w:ascii="宋体" w:hAnsi="宋体"/>
          <w:sz w:val="32"/>
          <w:szCs w:val="32"/>
        </w:rPr>
        <w:t>3.对甲方的服务通知，乙方在接报后1小时内响应，4小时内到达现场，48小时内处理完毕。若在48小时内仍未能有效解决，乙方须免费提供同等的设备予甲方临时使用。</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七、安装与调试</w:t>
      </w:r>
    </w:p>
    <w:p>
      <w:pPr>
        <w:spacing w:line="600" w:lineRule="exact"/>
        <w:ind w:firstLine="640" w:firstLineChars="200"/>
        <w:rPr>
          <w:rFonts w:hint="eastAsia" w:ascii="宋体" w:hAnsi="宋体"/>
          <w:sz w:val="32"/>
          <w:szCs w:val="32"/>
        </w:rPr>
      </w:pPr>
      <w:r>
        <w:rPr>
          <w:rFonts w:hint="eastAsia" w:ascii="宋体" w:hAnsi="宋体"/>
          <w:sz w:val="32"/>
          <w:szCs w:val="32"/>
        </w:rPr>
        <w:t>1.乙方必须依照招标文件的要求和报价文件的承诺，将设备、系统安装并调试至正常运行的最佳状态。</w:t>
      </w:r>
    </w:p>
    <w:p>
      <w:pPr>
        <w:spacing w:line="600" w:lineRule="exact"/>
        <w:ind w:firstLine="640" w:firstLineChars="200"/>
        <w:rPr>
          <w:rFonts w:hint="eastAsia" w:ascii="宋体" w:hAnsi="宋体"/>
          <w:sz w:val="32"/>
          <w:szCs w:val="32"/>
        </w:rPr>
      </w:pPr>
      <w:r>
        <w:rPr>
          <w:rFonts w:hint="eastAsia" w:ascii="宋体" w:hAnsi="宋体"/>
          <w:sz w:val="32"/>
          <w:szCs w:val="32"/>
        </w:rPr>
        <w:t>八、验收：</w:t>
      </w:r>
    </w:p>
    <w:p>
      <w:pPr>
        <w:spacing w:line="600" w:lineRule="exact"/>
        <w:ind w:firstLine="640" w:firstLineChars="200"/>
        <w:rPr>
          <w:rFonts w:hint="eastAsia" w:ascii="宋体" w:hAnsi="宋体"/>
          <w:sz w:val="32"/>
          <w:szCs w:val="32"/>
        </w:rPr>
      </w:pPr>
      <w:r>
        <w:rPr>
          <w:rFonts w:hint="eastAsia" w:ascii="宋体" w:hAnsi="宋体"/>
          <w:sz w:val="32"/>
          <w:szCs w:val="32"/>
        </w:rPr>
        <w:t>1.交付验收标准依次序对照适用标准为：①符合中华人民共和国国家安全质量标准、环保标准或行业标准；②符合招标文件和响应承诺中甲方认可的合理最佳配置、参数及各项要求；③货物来源国官方标准。</w:t>
      </w:r>
    </w:p>
    <w:p>
      <w:pPr>
        <w:spacing w:line="600" w:lineRule="exact"/>
        <w:ind w:firstLine="640" w:firstLineChars="200"/>
        <w:rPr>
          <w:rFonts w:hint="eastAsia" w:ascii="宋体" w:hAnsi="宋体"/>
          <w:sz w:val="32"/>
          <w:szCs w:val="32"/>
        </w:rPr>
      </w:pPr>
      <w:r>
        <w:rPr>
          <w:rFonts w:hint="eastAsia" w:ascii="宋体" w:hAnsi="宋体"/>
          <w:sz w:val="32"/>
          <w:szCs w:val="32"/>
        </w:rPr>
        <w:t>2.进口产品必须具备原产地证明和商检局的检验证明及合法进货渠道证明。</w:t>
      </w:r>
    </w:p>
    <w:p>
      <w:pPr>
        <w:spacing w:line="600" w:lineRule="exact"/>
        <w:ind w:firstLine="640" w:firstLineChars="200"/>
        <w:rPr>
          <w:rFonts w:hint="eastAsia" w:ascii="宋体" w:hAnsi="宋体"/>
          <w:sz w:val="32"/>
          <w:szCs w:val="32"/>
        </w:rPr>
      </w:pPr>
      <w:r>
        <w:rPr>
          <w:rFonts w:hint="eastAsia" w:ascii="宋体" w:hAnsi="宋体"/>
          <w:sz w:val="32"/>
          <w:szCs w:val="32"/>
        </w:rPr>
        <w:t>3.货物为原厂商未启封全新包装，具出厂合格证，序列号、包装箱号与出厂批号一致，并可追索查阅。所有随设备的附件必须齐全。</w:t>
      </w:r>
    </w:p>
    <w:p>
      <w:pPr>
        <w:spacing w:line="600" w:lineRule="exact"/>
        <w:ind w:firstLine="640" w:firstLineChars="200"/>
        <w:rPr>
          <w:rFonts w:hint="eastAsia" w:ascii="宋体" w:hAnsi="宋体"/>
          <w:sz w:val="32"/>
          <w:szCs w:val="32"/>
        </w:rPr>
      </w:pPr>
      <w:r>
        <w:rPr>
          <w:rFonts w:hint="eastAsia" w:ascii="宋体" w:hAnsi="宋体"/>
          <w:sz w:val="32"/>
          <w:szCs w:val="32"/>
        </w:rPr>
        <w:t>4.乙方应将关键主机设备的用户手册、保修手册、有关单证资料及配备件、随机工具等交付给甲方，使用操作及安全须知等重要资料应附有中文说明。</w:t>
      </w:r>
    </w:p>
    <w:p>
      <w:pPr>
        <w:spacing w:line="600" w:lineRule="exact"/>
        <w:ind w:firstLine="640" w:firstLineChars="200"/>
        <w:rPr>
          <w:rFonts w:hint="eastAsia" w:ascii="宋体" w:hAnsi="宋体"/>
          <w:sz w:val="32"/>
          <w:szCs w:val="32"/>
        </w:rPr>
      </w:pPr>
      <w:r>
        <w:rPr>
          <w:rFonts w:hint="eastAsia" w:ascii="宋体" w:hAnsi="宋体"/>
          <w:sz w:val="32"/>
          <w:szCs w:val="32"/>
        </w:rPr>
        <w:t>5.甲方组成验收小组按国家有关规定、规范进行验收，必要时邀请相关的专业人员或机构参与验收。</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九、违约责任与赔偿损失</w:t>
      </w:r>
    </w:p>
    <w:p>
      <w:pPr>
        <w:spacing w:line="600" w:lineRule="exact"/>
        <w:ind w:firstLine="640" w:firstLineChars="200"/>
        <w:rPr>
          <w:rFonts w:hint="eastAsia" w:ascii="宋体" w:hAnsi="宋体"/>
          <w:sz w:val="32"/>
          <w:szCs w:val="32"/>
        </w:rPr>
      </w:pPr>
      <w:r>
        <w:rPr>
          <w:rFonts w:hint="eastAsia" w:ascii="宋体" w:hAnsi="宋体"/>
          <w:sz w:val="32"/>
          <w:szCs w:val="32"/>
        </w:rPr>
        <w:t>1.乙方交付的货物、工程/提供的服务不符合本合同规定的，甲方有权拒收，并且乙方须向甲方支付本合同总价5%的违约金。</w:t>
      </w:r>
    </w:p>
    <w:p>
      <w:pPr>
        <w:spacing w:line="600" w:lineRule="exact"/>
        <w:ind w:firstLine="640" w:firstLineChars="200"/>
        <w:rPr>
          <w:rFonts w:hint="eastAsia" w:ascii="宋体" w:hAnsi="宋体"/>
          <w:sz w:val="32"/>
          <w:szCs w:val="32"/>
        </w:rPr>
      </w:pPr>
      <w:r>
        <w:rPr>
          <w:rFonts w:hint="eastAsia" w:ascii="宋体" w:hAnsi="宋体"/>
          <w:sz w:val="32"/>
          <w:szCs w:val="32"/>
        </w:rPr>
        <w:t>2.乙方未能按本合同规定的交货时间交付货物的/提供服务，从逾期之日起每日按本合同总价3‰的数额向甲方支付违约金；逾期半个月以上的，甲方有权终止合同，由此造成的甲方经济损失由乙方承担。</w:t>
      </w:r>
    </w:p>
    <w:p>
      <w:pPr>
        <w:spacing w:line="600" w:lineRule="exact"/>
        <w:ind w:firstLine="640" w:firstLineChars="200"/>
        <w:rPr>
          <w:rFonts w:hint="eastAsia" w:ascii="宋体" w:hAnsi="宋体"/>
          <w:sz w:val="32"/>
          <w:szCs w:val="32"/>
        </w:rPr>
      </w:pPr>
      <w:r>
        <w:rPr>
          <w:rFonts w:hint="eastAsia" w:ascii="宋体" w:hAnsi="宋体"/>
          <w:sz w:val="32"/>
          <w:szCs w:val="32"/>
        </w:rPr>
        <w:t>3.甲方无正当理由拒收货物/接受服务，到期拒付货物/服务款项的，甲方向乙方偿付本合同总的5%的违约金。甲方人逾期付款，则每日按本合同总价的3‰向乙方偿付违约金。</w:t>
      </w:r>
    </w:p>
    <w:p>
      <w:pPr>
        <w:spacing w:line="600" w:lineRule="exact"/>
        <w:ind w:firstLine="640" w:firstLineChars="200"/>
        <w:rPr>
          <w:rFonts w:ascii="宋体" w:hAnsi="宋体"/>
          <w:sz w:val="32"/>
          <w:szCs w:val="32"/>
        </w:rPr>
      </w:pPr>
      <w:r>
        <w:rPr>
          <w:rFonts w:hint="eastAsia" w:ascii="宋体" w:hAnsi="宋体"/>
          <w:sz w:val="32"/>
          <w:szCs w:val="32"/>
        </w:rPr>
        <w:t>4.对于因甲方原因导致变更、中止或者终止政府采购合同的，甲方应当依照合同约定对供应商受到的损失予以赔偿或者补偿。</w:t>
      </w:r>
      <w:r>
        <w:rPr>
          <w:rFonts w:ascii="宋体" w:hAnsi="宋体"/>
          <w:sz w:val="32"/>
          <w:szCs w:val="32"/>
        </w:rPr>
        <w:t xml:space="preserve">      </w:t>
      </w:r>
    </w:p>
    <w:p>
      <w:pPr>
        <w:spacing w:line="600" w:lineRule="exact"/>
        <w:ind w:firstLine="640" w:firstLineChars="200"/>
        <w:rPr>
          <w:rFonts w:hint="eastAsia" w:ascii="宋体" w:hAnsi="宋体"/>
          <w:sz w:val="32"/>
          <w:szCs w:val="32"/>
        </w:rPr>
      </w:pPr>
      <w:r>
        <w:rPr>
          <w:rFonts w:hint="eastAsia" w:ascii="宋体" w:hAnsi="宋体"/>
          <w:sz w:val="32"/>
          <w:szCs w:val="32"/>
        </w:rPr>
        <w:t>5.其它违约责任按《中华人民共和国民法典（合同编）》处理。</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 xml:space="preserve">十、争议的解决   </w:t>
      </w:r>
    </w:p>
    <w:p>
      <w:pPr>
        <w:spacing w:line="600" w:lineRule="exact"/>
        <w:ind w:firstLine="640" w:firstLineChars="200"/>
        <w:rPr>
          <w:rFonts w:hint="eastAsia" w:ascii="宋体" w:hAnsi="宋体"/>
          <w:sz w:val="32"/>
          <w:szCs w:val="32"/>
        </w:rPr>
      </w:pPr>
      <w:r>
        <w:rPr>
          <w:rFonts w:hint="eastAsia" w:ascii="宋体" w:hAnsi="宋体"/>
          <w:sz w:val="32"/>
          <w:szCs w:val="32"/>
        </w:rPr>
        <w:t>合同执行过程中发生的任何争议，如双方不能通过友好协商解决，按相关法律法规处理。</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十一、不可抗力</w:t>
      </w:r>
    </w:p>
    <w:p>
      <w:pPr>
        <w:spacing w:line="600" w:lineRule="exact"/>
        <w:ind w:firstLine="640" w:firstLineChars="200"/>
        <w:rPr>
          <w:rFonts w:hint="eastAsia" w:ascii="宋体" w:hAnsi="宋体"/>
          <w:sz w:val="32"/>
          <w:szCs w:val="32"/>
        </w:rPr>
      </w:pPr>
      <w:r>
        <w:rPr>
          <w:rFonts w:hint="eastAsia" w:ascii="宋体" w:hAnsi="宋体"/>
          <w:sz w:val="32"/>
          <w:szCs w:val="32"/>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十二、税费</w:t>
      </w:r>
    </w:p>
    <w:p>
      <w:pPr>
        <w:spacing w:line="600" w:lineRule="exact"/>
        <w:ind w:firstLine="640" w:firstLineChars="200"/>
        <w:rPr>
          <w:rFonts w:hint="eastAsia" w:ascii="宋体" w:hAnsi="宋体"/>
          <w:sz w:val="32"/>
          <w:szCs w:val="32"/>
        </w:rPr>
      </w:pPr>
      <w:r>
        <w:rPr>
          <w:rFonts w:hint="eastAsia" w:ascii="宋体" w:hAnsi="宋体"/>
          <w:sz w:val="32"/>
          <w:szCs w:val="32"/>
        </w:rPr>
        <w:t>在中国境内、外发生的与本合同执行有关的一切税费均由乙方负担。</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十三、 其它</w:t>
      </w:r>
    </w:p>
    <w:p>
      <w:pPr>
        <w:spacing w:line="600" w:lineRule="exact"/>
        <w:ind w:firstLine="640" w:firstLineChars="200"/>
        <w:rPr>
          <w:rFonts w:hint="eastAsia" w:ascii="宋体" w:hAnsi="宋体"/>
          <w:sz w:val="32"/>
          <w:szCs w:val="32"/>
        </w:rPr>
      </w:pPr>
      <w:r>
        <w:rPr>
          <w:rFonts w:hint="eastAsia" w:ascii="宋体" w:hAnsi="宋体"/>
          <w:sz w:val="32"/>
          <w:szCs w:val="32"/>
        </w:rPr>
        <w:t>1.本合同所有附件、招标文件、投标文件、中标通知书均为合同的有效组成部分，与本合同具有同等法律效力。</w:t>
      </w:r>
    </w:p>
    <w:p>
      <w:pPr>
        <w:spacing w:line="600" w:lineRule="exact"/>
        <w:ind w:firstLine="640" w:firstLineChars="200"/>
        <w:rPr>
          <w:rFonts w:hint="eastAsia" w:ascii="宋体" w:hAnsi="宋体"/>
          <w:sz w:val="32"/>
          <w:szCs w:val="32"/>
        </w:rPr>
      </w:pPr>
      <w:r>
        <w:rPr>
          <w:rFonts w:hint="eastAsia" w:ascii="宋体" w:hAnsi="宋体"/>
          <w:sz w:val="32"/>
          <w:szCs w:val="32"/>
        </w:rPr>
        <w:t>2.在执行本合同的过程中，所有经双方签署确认的文件（包括会议纪要、补充协议、往来信函）即成为本合同的有效组成部分。</w:t>
      </w:r>
    </w:p>
    <w:p>
      <w:pPr>
        <w:spacing w:line="600" w:lineRule="exact"/>
        <w:ind w:firstLine="640" w:firstLineChars="200"/>
        <w:rPr>
          <w:rFonts w:hint="eastAsia" w:ascii="宋体" w:hAnsi="宋体"/>
          <w:sz w:val="32"/>
          <w:szCs w:val="32"/>
        </w:rPr>
      </w:pPr>
      <w:r>
        <w:rPr>
          <w:rFonts w:hint="eastAsia" w:ascii="宋体" w:hAnsi="宋体"/>
          <w:sz w:val="32"/>
          <w:szCs w:val="32"/>
        </w:rPr>
        <w:t>3.如一方地址、电话、传真号码有变更，应在变更当日内书面通知对方，否则，应承担相应责任。</w:t>
      </w:r>
    </w:p>
    <w:p>
      <w:pPr>
        <w:spacing w:line="600" w:lineRule="exact"/>
        <w:ind w:firstLine="640" w:firstLineChars="200"/>
        <w:rPr>
          <w:rFonts w:hint="eastAsia" w:ascii="宋体" w:hAnsi="宋体"/>
          <w:sz w:val="32"/>
          <w:szCs w:val="32"/>
        </w:rPr>
      </w:pPr>
      <w:r>
        <w:rPr>
          <w:rFonts w:hint="eastAsia" w:ascii="宋体" w:hAnsi="宋体"/>
          <w:sz w:val="32"/>
          <w:szCs w:val="32"/>
        </w:rPr>
        <w:t>4.除甲方事先书面同意外，乙方不得部分或全部转让其应履行的合同项下的义务。</w:t>
      </w:r>
    </w:p>
    <w:p>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十四、合同生效</w:t>
      </w:r>
    </w:p>
    <w:p>
      <w:pPr>
        <w:spacing w:line="600" w:lineRule="exact"/>
        <w:ind w:firstLine="640" w:firstLineChars="200"/>
        <w:rPr>
          <w:rFonts w:hint="eastAsia" w:ascii="宋体" w:hAnsi="宋体"/>
          <w:sz w:val="32"/>
          <w:szCs w:val="32"/>
        </w:rPr>
      </w:pPr>
      <w:r>
        <w:rPr>
          <w:rFonts w:hint="eastAsia" w:ascii="宋体" w:hAnsi="宋体"/>
          <w:sz w:val="32"/>
          <w:szCs w:val="32"/>
        </w:rPr>
        <w:t>1.本合同在甲乙双方签字盖章后生效。</w:t>
      </w:r>
    </w:p>
    <w:p>
      <w:pPr>
        <w:spacing w:line="600" w:lineRule="exact"/>
        <w:ind w:firstLine="640" w:firstLineChars="200"/>
        <w:rPr>
          <w:rFonts w:hint="eastAsia" w:ascii="宋体" w:hAnsi="宋体"/>
          <w:sz w:val="32"/>
          <w:szCs w:val="32"/>
        </w:rPr>
      </w:pPr>
      <w:r>
        <w:rPr>
          <w:rFonts w:hint="eastAsia" w:ascii="宋体" w:hAnsi="宋体"/>
          <w:sz w:val="32"/>
          <w:szCs w:val="32"/>
        </w:rPr>
        <w:t>2.本合同一式肆份，甲方执叁份，乙方执壹份，具有同等法律效力。</w:t>
      </w:r>
    </w:p>
    <w:p>
      <w:pPr>
        <w:spacing w:line="600" w:lineRule="exact"/>
        <w:ind w:firstLine="640" w:firstLineChars="200"/>
        <w:rPr>
          <w:rFonts w:hint="eastAsia" w:ascii="宋体" w:hAnsi="宋体"/>
          <w:sz w:val="32"/>
          <w:szCs w:val="32"/>
        </w:rPr>
      </w:pPr>
    </w:p>
    <w:tbl>
      <w:tblPr>
        <w:tblStyle w:val="5"/>
        <w:tblW w:w="0" w:type="auto"/>
        <w:tblInd w:w="0" w:type="dxa"/>
        <w:tblLayout w:type="autofit"/>
        <w:tblCellMar>
          <w:top w:w="0" w:type="dxa"/>
          <w:left w:w="108" w:type="dxa"/>
          <w:bottom w:w="0" w:type="dxa"/>
          <w:right w:w="108" w:type="dxa"/>
        </w:tblCellMar>
      </w:tblPr>
      <w:tblGrid>
        <w:gridCol w:w="4261"/>
        <w:gridCol w:w="4261"/>
      </w:tblGrid>
      <w:tr>
        <w:tblPrEx>
          <w:tblCellMar>
            <w:top w:w="0" w:type="dxa"/>
            <w:left w:w="108" w:type="dxa"/>
            <w:bottom w:w="0" w:type="dxa"/>
            <w:right w:w="108" w:type="dxa"/>
          </w:tblCellMar>
        </w:tblPrEx>
        <w:tc>
          <w:tcPr>
            <w:tcW w:w="4261" w:type="dxa"/>
            <w:noWrap w:val="0"/>
            <w:vAlign w:val="top"/>
          </w:tcPr>
          <w:p>
            <w:pPr>
              <w:spacing w:line="600" w:lineRule="exact"/>
              <w:rPr>
                <w:rFonts w:ascii="宋体" w:hAnsi="宋体"/>
                <w:sz w:val="32"/>
                <w:szCs w:val="32"/>
              </w:rPr>
            </w:pPr>
            <w:r>
              <w:rPr>
                <w:rFonts w:hint="eastAsia" w:ascii="宋体" w:hAnsi="宋体"/>
                <w:sz w:val="32"/>
                <w:szCs w:val="32"/>
              </w:rPr>
              <w:t>甲方（盖章）：</w:t>
            </w:r>
          </w:p>
        </w:tc>
        <w:tc>
          <w:tcPr>
            <w:tcW w:w="4261" w:type="dxa"/>
            <w:noWrap w:val="0"/>
            <w:vAlign w:val="top"/>
          </w:tcPr>
          <w:p>
            <w:pPr>
              <w:spacing w:line="600" w:lineRule="exact"/>
              <w:rPr>
                <w:rFonts w:ascii="宋体" w:hAnsi="宋体"/>
                <w:sz w:val="32"/>
                <w:szCs w:val="32"/>
              </w:rPr>
            </w:pPr>
            <w:r>
              <w:rPr>
                <w:rFonts w:hint="eastAsia" w:ascii="宋体" w:hAnsi="宋体"/>
                <w:sz w:val="32"/>
                <w:szCs w:val="32"/>
              </w:rPr>
              <w:t>乙方（盖章）：</w:t>
            </w:r>
          </w:p>
        </w:tc>
      </w:tr>
      <w:tr>
        <w:tblPrEx>
          <w:tblCellMar>
            <w:top w:w="0" w:type="dxa"/>
            <w:left w:w="108" w:type="dxa"/>
            <w:bottom w:w="0" w:type="dxa"/>
            <w:right w:w="108" w:type="dxa"/>
          </w:tblCellMar>
        </w:tblPrEx>
        <w:tc>
          <w:tcPr>
            <w:tcW w:w="4261" w:type="dxa"/>
            <w:noWrap w:val="0"/>
            <w:vAlign w:val="top"/>
          </w:tcPr>
          <w:p>
            <w:pPr>
              <w:spacing w:line="600" w:lineRule="exact"/>
              <w:rPr>
                <w:rFonts w:ascii="宋体" w:hAnsi="宋体"/>
                <w:sz w:val="32"/>
                <w:szCs w:val="32"/>
              </w:rPr>
            </w:pPr>
            <w:r>
              <w:rPr>
                <w:rFonts w:hint="eastAsia" w:ascii="宋体" w:hAnsi="宋体"/>
                <w:sz w:val="32"/>
                <w:szCs w:val="32"/>
              </w:rPr>
              <w:t>法定负责人：</w:t>
            </w:r>
          </w:p>
        </w:tc>
        <w:tc>
          <w:tcPr>
            <w:tcW w:w="4261" w:type="dxa"/>
            <w:noWrap w:val="0"/>
            <w:vAlign w:val="top"/>
          </w:tcPr>
          <w:p>
            <w:pPr>
              <w:spacing w:line="600" w:lineRule="exact"/>
              <w:rPr>
                <w:rFonts w:ascii="宋体" w:hAnsi="宋体"/>
                <w:sz w:val="32"/>
                <w:szCs w:val="32"/>
              </w:rPr>
            </w:pPr>
            <w:r>
              <w:rPr>
                <w:rFonts w:hint="eastAsia" w:ascii="宋体" w:hAnsi="宋体"/>
                <w:sz w:val="32"/>
                <w:szCs w:val="32"/>
              </w:rPr>
              <w:t>代表：</w:t>
            </w:r>
          </w:p>
        </w:tc>
      </w:tr>
      <w:tr>
        <w:tblPrEx>
          <w:tblCellMar>
            <w:top w:w="0" w:type="dxa"/>
            <w:left w:w="108" w:type="dxa"/>
            <w:bottom w:w="0" w:type="dxa"/>
            <w:right w:w="108" w:type="dxa"/>
          </w:tblCellMar>
        </w:tblPrEx>
        <w:tc>
          <w:tcPr>
            <w:tcW w:w="4261" w:type="dxa"/>
            <w:noWrap w:val="0"/>
            <w:vAlign w:val="top"/>
          </w:tcPr>
          <w:p>
            <w:pPr>
              <w:spacing w:line="600" w:lineRule="exact"/>
              <w:rPr>
                <w:rFonts w:hint="eastAsia" w:ascii="宋体" w:hAnsi="宋体"/>
                <w:sz w:val="32"/>
                <w:szCs w:val="32"/>
              </w:rPr>
            </w:pPr>
            <w:r>
              <w:rPr>
                <w:rFonts w:hint="eastAsia" w:ascii="宋体" w:hAnsi="宋体"/>
                <w:sz w:val="32"/>
                <w:szCs w:val="32"/>
              </w:rPr>
              <w:t>签订日期：　年　月　日</w:t>
            </w:r>
          </w:p>
        </w:tc>
        <w:tc>
          <w:tcPr>
            <w:tcW w:w="4261" w:type="dxa"/>
            <w:noWrap w:val="0"/>
            <w:vAlign w:val="top"/>
          </w:tcPr>
          <w:p>
            <w:pPr>
              <w:spacing w:line="600" w:lineRule="exact"/>
              <w:rPr>
                <w:rFonts w:hint="eastAsia" w:ascii="宋体" w:hAnsi="宋体"/>
                <w:sz w:val="32"/>
                <w:szCs w:val="32"/>
              </w:rPr>
            </w:pPr>
            <w:r>
              <w:rPr>
                <w:rFonts w:hint="eastAsia" w:ascii="宋体" w:hAnsi="宋体"/>
                <w:sz w:val="32"/>
                <w:szCs w:val="32"/>
              </w:rPr>
              <w:t>签订日期：　年　月　日</w:t>
            </w:r>
          </w:p>
        </w:tc>
      </w:tr>
      <w:tr>
        <w:tc>
          <w:tcPr>
            <w:tcW w:w="4261" w:type="dxa"/>
            <w:noWrap w:val="0"/>
            <w:vAlign w:val="top"/>
          </w:tcPr>
          <w:p>
            <w:pPr>
              <w:spacing w:line="600" w:lineRule="exact"/>
              <w:rPr>
                <w:rFonts w:ascii="宋体" w:hAnsi="宋体"/>
                <w:sz w:val="32"/>
                <w:szCs w:val="32"/>
              </w:rPr>
            </w:pPr>
            <w:r>
              <w:rPr>
                <w:rFonts w:hint="eastAsia" w:ascii="宋体" w:hAnsi="宋体"/>
                <w:sz w:val="32"/>
                <w:szCs w:val="32"/>
              </w:rPr>
              <w:t>开户名称：</w:t>
            </w:r>
          </w:p>
        </w:tc>
        <w:tc>
          <w:tcPr>
            <w:tcW w:w="4261" w:type="dxa"/>
            <w:noWrap w:val="0"/>
            <w:vAlign w:val="top"/>
          </w:tcPr>
          <w:p>
            <w:pPr>
              <w:spacing w:line="600" w:lineRule="exact"/>
              <w:rPr>
                <w:rFonts w:ascii="宋体" w:hAnsi="宋体"/>
                <w:sz w:val="32"/>
                <w:szCs w:val="32"/>
              </w:rPr>
            </w:pPr>
            <w:r>
              <w:rPr>
                <w:rFonts w:hint="eastAsia" w:ascii="宋体" w:hAnsi="宋体"/>
                <w:sz w:val="32"/>
                <w:szCs w:val="32"/>
              </w:rPr>
              <w:t>开户名称：</w:t>
            </w:r>
          </w:p>
        </w:tc>
      </w:tr>
      <w:tr>
        <w:tblPrEx>
          <w:tblCellMar>
            <w:top w:w="0" w:type="dxa"/>
            <w:left w:w="108" w:type="dxa"/>
            <w:bottom w:w="0" w:type="dxa"/>
            <w:right w:w="108" w:type="dxa"/>
          </w:tblCellMar>
        </w:tblPrEx>
        <w:tc>
          <w:tcPr>
            <w:tcW w:w="4261" w:type="dxa"/>
            <w:noWrap w:val="0"/>
            <w:vAlign w:val="top"/>
          </w:tcPr>
          <w:p>
            <w:pPr>
              <w:spacing w:line="600" w:lineRule="exact"/>
              <w:rPr>
                <w:rFonts w:ascii="宋体" w:hAnsi="宋体"/>
                <w:sz w:val="32"/>
                <w:szCs w:val="32"/>
              </w:rPr>
            </w:pPr>
            <w:r>
              <w:rPr>
                <w:rFonts w:hint="eastAsia" w:ascii="宋体" w:hAnsi="宋体"/>
                <w:sz w:val="32"/>
                <w:szCs w:val="32"/>
              </w:rPr>
              <w:t>银行帐号：</w:t>
            </w:r>
          </w:p>
        </w:tc>
        <w:tc>
          <w:tcPr>
            <w:tcW w:w="4261" w:type="dxa"/>
            <w:noWrap w:val="0"/>
            <w:vAlign w:val="top"/>
          </w:tcPr>
          <w:p>
            <w:pPr>
              <w:spacing w:line="600" w:lineRule="exact"/>
              <w:rPr>
                <w:rFonts w:ascii="宋体" w:hAnsi="宋体"/>
                <w:sz w:val="32"/>
                <w:szCs w:val="32"/>
              </w:rPr>
            </w:pPr>
            <w:r>
              <w:rPr>
                <w:rFonts w:hint="eastAsia" w:ascii="宋体" w:hAnsi="宋体"/>
                <w:sz w:val="32"/>
                <w:szCs w:val="32"/>
              </w:rPr>
              <w:t>银行帐号：</w:t>
            </w:r>
          </w:p>
        </w:tc>
      </w:tr>
      <w:tr>
        <w:tblPrEx>
          <w:tblCellMar>
            <w:top w:w="0" w:type="dxa"/>
            <w:left w:w="108" w:type="dxa"/>
            <w:bottom w:w="0" w:type="dxa"/>
            <w:right w:w="108" w:type="dxa"/>
          </w:tblCellMar>
        </w:tblPrEx>
        <w:tc>
          <w:tcPr>
            <w:tcW w:w="4261" w:type="dxa"/>
            <w:noWrap w:val="0"/>
            <w:vAlign w:val="top"/>
          </w:tcPr>
          <w:p>
            <w:pPr>
              <w:spacing w:line="600" w:lineRule="exact"/>
              <w:rPr>
                <w:rFonts w:hint="eastAsia" w:ascii="宋体" w:hAnsi="宋体"/>
                <w:sz w:val="32"/>
                <w:szCs w:val="32"/>
              </w:rPr>
            </w:pPr>
            <w:r>
              <w:rPr>
                <w:rFonts w:hint="eastAsia" w:ascii="宋体" w:hAnsi="宋体"/>
                <w:sz w:val="32"/>
                <w:szCs w:val="32"/>
              </w:rPr>
              <w:t>开户行：</w:t>
            </w:r>
          </w:p>
        </w:tc>
        <w:tc>
          <w:tcPr>
            <w:tcW w:w="4261" w:type="dxa"/>
            <w:noWrap w:val="0"/>
            <w:vAlign w:val="top"/>
          </w:tcPr>
          <w:p>
            <w:pPr>
              <w:spacing w:line="600" w:lineRule="exact"/>
              <w:rPr>
                <w:rFonts w:ascii="宋体" w:hAnsi="宋体"/>
                <w:sz w:val="32"/>
                <w:szCs w:val="32"/>
              </w:rPr>
            </w:pPr>
            <w:r>
              <w:rPr>
                <w:rFonts w:hint="eastAsia" w:ascii="宋体" w:hAnsi="宋体"/>
                <w:sz w:val="32"/>
                <w:szCs w:val="32"/>
              </w:rPr>
              <w:t>开户行：</w:t>
            </w:r>
          </w:p>
        </w:tc>
      </w:tr>
      <w:tr>
        <w:tblPrEx>
          <w:tblCellMar>
            <w:top w:w="0" w:type="dxa"/>
            <w:left w:w="108" w:type="dxa"/>
            <w:bottom w:w="0" w:type="dxa"/>
            <w:right w:w="108" w:type="dxa"/>
          </w:tblCellMar>
        </w:tblPrEx>
        <w:tc>
          <w:tcPr>
            <w:tcW w:w="4261" w:type="dxa"/>
            <w:noWrap w:val="0"/>
            <w:vAlign w:val="top"/>
          </w:tcPr>
          <w:p>
            <w:pPr>
              <w:spacing w:line="600" w:lineRule="exact"/>
              <w:rPr>
                <w:rFonts w:ascii="宋体" w:hAnsi="宋体"/>
                <w:sz w:val="32"/>
                <w:szCs w:val="32"/>
              </w:rPr>
            </w:pPr>
            <w:r>
              <w:rPr>
                <w:rFonts w:hint="eastAsia" w:ascii="宋体" w:hAnsi="宋体"/>
                <w:sz w:val="32"/>
                <w:szCs w:val="32"/>
              </w:rPr>
              <w:t>签订地点：江门市蓬江区</w:t>
            </w:r>
          </w:p>
        </w:tc>
        <w:tc>
          <w:tcPr>
            <w:tcW w:w="4261" w:type="dxa"/>
            <w:noWrap w:val="0"/>
            <w:vAlign w:val="top"/>
          </w:tcPr>
          <w:p>
            <w:pPr>
              <w:spacing w:line="600" w:lineRule="exact"/>
              <w:rPr>
                <w:rFonts w:ascii="宋体" w:hAnsi="宋体"/>
                <w:sz w:val="32"/>
                <w:szCs w:val="32"/>
              </w:rPr>
            </w:pPr>
          </w:p>
        </w:tc>
      </w:tr>
    </w:tbl>
    <w:p>
      <w:pPr>
        <w:spacing w:line="600" w:lineRule="exact"/>
        <w:ind w:firstLine="640" w:firstLineChars="200"/>
        <w:rPr>
          <w:rFonts w:hint="eastAsia" w:ascii="宋体" w:hAnsi="宋体"/>
          <w:sz w:val="32"/>
          <w:szCs w:val="32"/>
        </w:rPr>
      </w:pPr>
    </w:p>
    <w:p>
      <w:pPr>
        <w:rPr>
          <w:rFonts w:ascii="宋体" w:hAnsi="宋体"/>
          <w:b/>
          <w:sz w:val="32"/>
          <w:szCs w:val="32"/>
        </w:rPr>
      </w:pPr>
      <w:r>
        <w:rPr>
          <w:rFonts w:hint="eastAsia" w:ascii="宋体" w:hAnsi="宋体"/>
          <w:b/>
          <w:sz w:val="32"/>
          <w:szCs w:val="32"/>
        </w:rPr>
        <w:t>注：本合同样本仅供形式上的参考，具体条款内容由采购人和中标供应商协商确定。</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60FF"/>
    <w:rsid w:val="00072FBF"/>
    <w:rsid w:val="000C1397"/>
    <w:rsid w:val="000D1D81"/>
    <w:rsid w:val="001078ED"/>
    <w:rsid w:val="00163774"/>
    <w:rsid w:val="00190B40"/>
    <w:rsid w:val="002266DC"/>
    <w:rsid w:val="00240DCC"/>
    <w:rsid w:val="00273F03"/>
    <w:rsid w:val="002C3A5F"/>
    <w:rsid w:val="00327A02"/>
    <w:rsid w:val="00391F37"/>
    <w:rsid w:val="003E4A6B"/>
    <w:rsid w:val="003F343A"/>
    <w:rsid w:val="004A01B9"/>
    <w:rsid w:val="004C4CEA"/>
    <w:rsid w:val="004E52FF"/>
    <w:rsid w:val="00535805"/>
    <w:rsid w:val="0058650D"/>
    <w:rsid w:val="005B319D"/>
    <w:rsid w:val="006360FF"/>
    <w:rsid w:val="00693F75"/>
    <w:rsid w:val="006B1C61"/>
    <w:rsid w:val="006C440B"/>
    <w:rsid w:val="006C7954"/>
    <w:rsid w:val="0083027C"/>
    <w:rsid w:val="00B67326"/>
    <w:rsid w:val="00B738EB"/>
    <w:rsid w:val="00B90379"/>
    <w:rsid w:val="00B9560B"/>
    <w:rsid w:val="00BA0826"/>
    <w:rsid w:val="00C10BCA"/>
    <w:rsid w:val="00C2712E"/>
    <w:rsid w:val="00C463B6"/>
    <w:rsid w:val="00D766C4"/>
    <w:rsid w:val="00DC3CB9"/>
    <w:rsid w:val="00E60C55"/>
    <w:rsid w:val="00EC7FE1"/>
    <w:rsid w:val="00F440FD"/>
    <w:rsid w:val="00FF4990"/>
    <w:rsid w:val="11546277"/>
    <w:rsid w:val="41E1C3EE"/>
    <w:rsid w:val="60621843"/>
    <w:rsid w:val="64E533D4"/>
    <w:rsid w:val="650E6427"/>
    <w:rsid w:val="B7D612B2"/>
    <w:rsid w:val="FEF5452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脚 Char"/>
    <w:link w:val="3"/>
    <w:qFormat/>
    <w:uiPriority w:val="99"/>
    <w:rPr>
      <w:sz w:val="18"/>
      <w:szCs w:val="18"/>
    </w:rPr>
  </w:style>
  <w:style w:type="character" w:customStyle="1" w:styleId="9">
    <w:name w:val="页眉 Char"/>
    <w:link w:val="4"/>
    <w:qFormat/>
    <w:uiPriority w:val="99"/>
    <w:rPr>
      <w:sz w:val="18"/>
      <w:szCs w:val="18"/>
    </w:rPr>
  </w:style>
  <w:style w:type="paragraph" w:styleId="10">
    <w:name w:val="List Paragraph"/>
    <w:basedOn w:val="1"/>
    <w:qFormat/>
    <w:uiPriority w:val="34"/>
    <w:pPr>
      <w:ind w:firstLine="420" w:firstLineChars="200"/>
    </w:pPr>
  </w:style>
  <w:style w:type="paragraph" w:customStyle="1" w:styleId="11">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401</Words>
  <Characters>2287</Characters>
  <Lines>19</Lines>
  <Paragraphs>5</Paragraphs>
  <TotalTime>169</TotalTime>
  <ScaleCrop>false</ScaleCrop>
  <LinksUpToDate>false</LinksUpToDate>
  <CharactersWithSpaces>2683</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2025-05-14T19:53:00Z</dcterms:created>
  <dc:creator>Administrator</dc:creator>
  <cp:lastModifiedBy>greatwall</cp:lastModifiedBy>
  <dcterms:modified xsi:type="dcterms:W3CDTF">2026-04-01T11:07:15Z</dcterms:modified>
  <dc:title>附件3</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KSOTemplateDocerSaveRecord">
    <vt:lpwstr>eyJoZGlkIjoiZDZhYjcwNTIzZmE3ODJkMjk1ZTMzNmQ2ZTUwZmYzY2YiLCJ1c2VySWQiOiI3Nzk4Nzc3MjUifQ==</vt:lpwstr>
  </property>
  <property fmtid="{D5CDD505-2E9C-101B-9397-08002B2CF9AE}" pid="4" name="ICV">
    <vt:lpwstr>96221CF9E36B46F38C3F0D0B277AC3AB_12</vt:lpwstr>
  </property>
</Properties>
</file>