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江门市市场监督管理局开展2025年</w:t>
      </w:r>
      <w:r>
        <w:rPr>
          <w:rFonts w:hint="eastAsia" w:ascii="宋体" w:hAnsi="宋体" w:eastAsia="宋体" w:cs="宋体"/>
          <w:b/>
          <w:bCs/>
          <w:color w:val="000000" w:themeColor="text1"/>
          <w:kern w:val="2"/>
          <w:sz w:val="44"/>
          <w:szCs w:val="44"/>
          <w:shd w:val="clear" w:color="auto" w:fill="FFFFFF"/>
          <w:lang w:bidi="ar"/>
          <w14:textFill>
            <w14:solidFill>
              <w14:schemeClr w14:val="tx1"/>
            </w14:solidFill>
          </w14:textFill>
        </w:rPr>
        <w:t>专利转化需求对接</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rPr>
        <w:t>2</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ind w:firstLine="560" w:firstLineChars="200"/>
        <w:jc w:val="left"/>
        <w:rPr>
          <w:rFonts w:ascii="仿宋" w:hAnsi="仿宋" w:eastAsia="仿宋" w:cs="仿宋"/>
          <w:sz w:val="28"/>
          <w:szCs w:val="28"/>
        </w:rPr>
      </w:pPr>
    </w:p>
    <w:p>
      <w:pPr>
        <w:widowControl/>
        <w:spacing w:line="56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w:t>
      </w:r>
      <w:r>
        <w:rPr>
          <w:rFonts w:hint="eastAsia" w:ascii="仿宋" w:hAnsi="仿宋" w:eastAsia="仿宋" w:cs="仿宋"/>
          <w:bCs/>
          <w:sz w:val="28"/>
          <w:szCs w:val="28"/>
        </w:rPr>
        <w:t>开</w:t>
      </w:r>
      <w:r>
        <w:rPr>
          <w:rFonts w:hint="eastAsia" w:ascii="仿宋" w:hAnsi="仿宋" w:eastAsia="仿宋" w:cs="仿宋"/>
          <w:sz w:val="28"/>
          <w:szCs w:val="28"/>
        </w:rPr>
        <w:t>展</w:t>
      </w:r>
      <w:r>
        <w:rPr>
          <w:rFonts w:ascii="仿宋" w:hAnsi="仿宋" w:eastAsia="仿宋" w:cs="仿宋"/>
          <w:b w:val="0"/>
          <w:bCs w:val="0"/>
          <w:color w:val="000000" w:themeColor="text1"/>
          <w:sz w:val="28"/>
          <w:szCs w:val="28"/>
          <w:shd w:val="clear" w:color="auto" w:fill="auto"/>
          <w14:textFill>
            <w14:solidFill>
              <w14:schemeClr w14:val="tx1"/>
            </w14:solidFill>
          </w14:textFill>
        </w:rPr>
        <w:t>2025年</w:t>
      </w:r>
      <w:r>
        <w:rPr>
          <w:rFonts w:hint="eastAsia" w:ascii="仿宋" w:hAnsi="仿宋" w:eastAsia="仿宋" w:cs="仿宋"/>
          <w:b w:val="0"/>
          <w:bCs w:val="0"/>
          <w:color w:val="000000" w:themeColor="text1"/>
          <w:sz w:val="28"/>
          <w:szCs w:val="28"/>
          <w:shd w:val="clear" w:color="auto" w:fill="auto"/>
          <w:lang w:bidi="ar"/>
          <w14:textFill>
            <w14:solidFill>
              <w14:schemeClr w14:val="tx1"/>
            </w14:solidFill>
          </w14:textFill>
        </w:rPr>
        <w:t>专利转化需求对接</w:t>
      </w:r>
      <w:r>
        <w:rPr>
          <w:rFonts w:hint="eastAsia" w:ascii="仿宋" w:hAnsi="仿宋" w:eastAsia="仿宋" w:cs="仿宋"/>
          <w:sz w:val="28"/>
          <w:szCs w:val="28"/>
        </w:rPr>
        <w:t>项目”（项目编号：</w:t>
      </w:r>
      <w:r>
        <w:rPr>
          <w:rFonts w:hint="eastAsia" w:ascii="仿宋" w:hAnsi="仿宋" w:eastAsia="仿宋" w:cs="仿宋"/>
          <w:sz w:val="28"/>
          <w:szCs w:val="28"/>
          <w:lang w:val="en-US" w:eastAsia="zh-CN"/>
        </w:rPr>
        <w:t>2025022</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sz w:val="28"/>
          <w:szCs w:val="28"/>
        </w:rPr>
        <w:t>开展2025年</w:t>
      </w:r>
      <w:r>
        <w:rPr>
          <w:rFonts w:hint="eastAsia" w:ascii="仿宋" w:hAnsi="仿宋" w:eastAsia="仿宋" w:cs="仿宋"/>
          <w:kern w:val="2"/>
          <w:sz w:val="28"/>
          <w:szCs w:val="28"/>
          <w:lang w:bidi="ar"/>
        </w:rPr>
        <w:t>专利转化需求对接</w:t>
      </w:r>
      <w:r>
        <w:rPr>
          <w:rFonts w:hint="eastAsia" w:ascii="仿宋" w:hAnsi="仿宋" w:eastAsia="仿宋" w:cs="仿宋"/>
          <w:sz w:val="28"/>
          <w:szCs w:val="28"/>
        </w:rPr>
        <w:t>项目，乙方的工作内容包括，</w:t>
      </w:r>
      <w:r>
        <w:rPr>
          <w:rFonts w:hint="eastAsia" w:ascii="仿宋" w:hAnsi="仿宋" w:eastAsia="仿宋" w:cs="仿宋"/>
          <w:bCs/>
          <w:kern w:val="2"/>
          <w:sz w:val="28"/>
          <w:szCs w:val="28"/>
        </w:rPr>
        <w:t>协助</w:t>
      </w:r>
      <w:r>
        <w:rPr>
          <w:rFonts w:hint="eastAsia" w:ascii="仿宋" w:hAnsi="仿宋" w:eastAsia="仿宋" w:cs="仿宋"/>
          <w:bCs/>
          <w:spacing w:val="6"/>
          <w:kern w:val="0"/>
          <w:sz w:val="28"/>
          <w:szCs w:val="28"/>
        </w:rPr>
        <w:t>扩大专利转化运用高质量供给，</w:t>
      </w:r>
      <w:r>
        <w:rPr>
          <w:rFonts w:hint="eastAsia" w:ascii="仿宋" w:hAnsi="仿宋" w:eastAsia="仿宋" w:cs="仿宋"/>
          <w:kern w:val="0"/>
          <w:sz w:val="28"/>
          <w:szCs w:val="28"/>
        </w:rPr>
        <w:t>开展江门企业研学活动1场，挖掘企业需求，推动知识产权转化运用，知识产权赋能“百千万工程”，助力乡村振兴，</w:t>
      </w:r>
      <w:r>
        <w:rPr>
          <w:rFonts w:hint="eastAsia" w:ascii="仿宋" w:hAnsi="仿宋" w:eastAsia="仿宋" w:cs="仿宋"/>
          <w:kern w:val="2"/>
          <w:sz w:val="28"/>
          <w:szCs w:val="28"/>
        </w:rPr>
        <w:t>分区域、分产业组织不少于4场中小微企业专利转化对接活动</w:t>
      </w:r>
      <w:r>
        <w:rPr>
          <w:rFonts w:hint="eastAsia" w:ascii="仿宋" w:hAnsi="仿宋" w:eastAsia="仿宋" w:cs="仿宋"/>
          <w:sz w:val="28"/>
          <w:szCs w:val="28"/>
        </w:rPr>
        <w:t>等工作。具体工作内容及要求如下：</w:t>
      </w:r>
    </w:p>
    <w:p>
      <w:pPr>
        <w:spacing w:line="560" w:lineRule="exact"/>
        <w:ind w:firstLine="560" w:firstLineChars="200"/>
        <w:rPr>
          <w:rFonts w:ascii="仿宋" w:hAnsi="仿宋" w:eastAsia="仿宋" w:cs="仿宋"/>
          <w:sz w:val="28"/>
          <w:szCs w:val="28"/>
        </w:rPr>
      </w:pPr>
      <w:r>
        <w:rPr>
          <w:rFonts w:hint="eastAsia" w:ascii="仿宋" w:hAnsi="仿宋" w:eastAsia="仿宋" w:cs="仿宋"/>
          <w:bCs/>
          <w:kern w:val="2"/>
          <w:sz w:val="28"/>
          <w:szCs w:val="28"/>
        </w:rPr>
        <w:t>（一）乙方协助</w:t>
      </w:r>
      <w:r>
        <w:rPr>
          <w:rFonts w:hint="eastAsia" w:ascii="仿宋" w:hAnsi="仿宋" w:eastAsia="仿宋" w:cs="仿宋"/>
          <w:bCs/>
          <w:spacing w:val="6"/>
          <w:sz w:val="28"/>
          <w:szCs w:val="28"/>
        </w:rPr>
        <w:t>扩大专利转化运用高质量供给。检索、梳理、分析高校院所专利，形成专利供给技术清单，提供可供转让、许可的专利不少于</w:t>
      </w:r>
      <w:r>
        <w:rPr>
          <w:rFonts w:ascii="仿宋" w:hAnsi="仿宋" w:eastAsia="仿宋" w:cs="仿宋"/>
          <w:bCs/>
          <w:spacing w:val="6"/>
          <w:sz w:val="28"/>
          <w:szCs w:val="28"/>
        </w:rPr>
        <w:t>1000</w:t>
      </w:r>
      <w:r>
        <w:rPr>
          <w:rFonts w:hint="eastAsia" w:ascii="仿宋" w:hAnsi="仿宋" w:eastAsia="仿宋" w:cs="仿宋"/>
          <w:bCs/>
          <w:spacing w:val="6"/>
          <w:sz w:val="28"/>
          <w:szCs w:val="28"/>
        </w:rPr>
        <w:t>件，包括基础信息数据内容、专利相关研发团队及专利转化运用背景等外延信息，在网站对外发布。</w:t>
      </w:r>
    </w:p>
    <w:p>
      <w:pPr>
        <w:widowControl/>
        <w:numPr>
          <w:ilvl w:val="255"/>
          <w:numId w:val="0"/>
        </w:numPr>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（二）</w:t>
      </w:r>
      <w:r>
        <w:rPr>
          <w:rFonts w:hint="eastAsia" w:ascii="仿宋" w:hAnsi="仿宋" w:eastAsia="仿宋" w:cs="仿宋"/>
          <w:sz w:val="28"/>
          <w:szCs w:val="28"/>
        </w:rPr>
        <w:t>乙方开展江门企业研学活动1场。组织重点企业形成研学队伍，通过现场授课、实验室参观、科研团队交流、科技成果对接等方式，走进省内高校院所或标杆企业开展1场交流学习，时间1天，参加人数不少于20人。</w:t>
      </w:r>
    </w:p>
    <w:p>
      <w:pPr>
        <w:widowControl/>
        <w:numPr>
          <w:ilvl w:val="255"/>
          <w:numId w:val="0"/>
        </w:numPr>
        <w:spacing w:line="560" w:lineRule="exact"/>
        <w:ind w:firstLine="560" w:firstLineChars="200"/>
        <w:jc w:val="left"/>
        <w:rPr>
          <w:rFonts w:ascii="仿宋" w:hAnsi="仿宋" w:eastAsia="仿宋" w:cs="仿宋"/>
          <w:bCs/>
          <w:sz w:val="28"/>
          <w:szCs w:val="28"/>
        </w:rPr>
      </w:pPr>
      <w:r>
        <w:rPr>
          <w:rFonts w:hint="eastAsia" w:ascii="仿宋" w:hAnsi="仿宋" w:eastAsia="仿宋" w:cs="仿宋"/>
          <w:bCs/>
          <w:kern w:val="2"/>
          <w:sz w:val="28"/>
          <w:szCs w:val="28"/>
        </w:rPr>
        <w:t>（三）</w:t>
      </w:r>
      <w:r>
        <w:rPr>
          <w:rFonts w:hint="eastAsia" w:ascii="仿宋" w:hAnsi="仿宋" w:eastAsia="仿宋" w:cs="仿宋"/>
          <w:sz w:val="28"/>
          <w:szCs w:val="28"/>
        </w:rPr>
        <w:t>乙方挖掘企业需求，推动知识产权转化运用。组织专家【技术或知识产权领域的专家，职称高级（含副高）或以上】走访调研江门市重点产业集群的企业不少于40家次，通过问卷、访谈等方式梳理技术需求，针对需求匹配专利资源，提供解决方案。促成项目期内江门地区企业的专利转让或受让不少于15件、专利许可或被许可不少于</w:t>
      </w:r>
      <w:r>
        <w:rPr>
          <w:rFonts w:ascii="仿宋" w:hAnsi="仿宋" w:eastAsia="仿宋" w:cs="仿宋"/>
          <w:sz w:val="28"/>
          <w:szCs w:val="28"/>
        </w:rPr>
        <w:t>60</w:t>
      </w:r>
      <w:r>
        <w:rPr>
          <w:rFonts w:hint="eastAsia" w:ascii="仿宋" w:hAnsi="仿宋" w:eastAsia="仿宋" w:cs="仿宋"/>
          <w:sz w:val="28"/>
          <w:szCs w:val="28"/>
        </w:rPr>
        <w:t>件次。</w:t>
      </w:r>
    </w:p>
    <w:p>
      <w:pPr>
        <w:spacing w:line="560" w:lineRule="exact"/>
        <w:ind w:firstLine="560" w:firstLineChars="200"/>
        <w:rPr>
          <w:rFonts w:ascii="仿宋" w:hAnsi="仿宋" w:eastAsia="仿宋" w:cs="仿宋"/>
          <w:sz w:val="28"/>
          <w:szCs w:val="28"/>
        </w:rPr>
      </w:pPr>
      <w:r>
        <w:rPr>
          <w:rFonts w:hint="eastAsia" w:ascii="仿宋" w:hAnsi="仿宋" w:eastAsia="仿宋" w:cs="仿宋"/>
          <w:b w:val="0"/>
          <w:bCs/>
          <w:sz w:val="28"/>
          <w:szCs w:val="28"/>
        </w:rPr>
        <w:t>（四）</w:t>
      </w:r>
      <w:r>
        <w:rPr>
          <w:rFonts w:hint="eastAsia" w:ascii="仿宋" w:hAnsi="仿宋" w:eastAsia="仿宋" w:cs="仿宋"/>
          <w:sz w:val="28"/>
          <w:szCs w:val="28"/>
        </w:rPr>
        <w:t>知识产权赋能“百千万工程”，助力乡村振兴。</w:t>
      </w:r>
    </w:p>
    <w:p>
      <w:pPr>
        <w:spacing w:line="5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、乙方联合高校、科研院所，筛选适合农村的专利技术（如节水灌溉、有机肥料、病虫害防治等），制作发放专利技术手册不少于200份，通过乡镇服务站、农技推广中心免费发放。</w:t>
      </w:r>
    </w:p>
    <w:p>
      <w:pPr>
        <w:pStyle w:val="3"/>
        <w:ind w:firstLine="560"/>
        <w:rPr>
          <w:rFonts w:ascii="仿宋" w:hAnsi="仿宋" w:eastAsia="仿宋" w:cs="仿宋"/>
          <w:sz w:val="28"/>
          <w:szCs w:val="28"/>
        </w:rPr>
      </w:pPr>
      <w:r>
        <w:rPr>
          <w:rFonts w:hint="eastAsia" w:ascii="仿宋" w:hAnsi="仿宋" w:eastAsia="仿宋" w:cs="仿宋"/>
          <w:sz w:val="28"/>
          <w:szCs w:val="28"/>
        </w:rPr>
        <w:t>2、乙方组织3名专家为不少于5个镇街提供专利技术咨询服务。</w:t>
      </w:r>
    </w:p>
    <w:p>
      <w:pPr>
        <w:pStyle w:val="3"/>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）乙方推动专利转化工作，促进全国高校院所、国有企业与当地中小微企业对接，分区域、分产业组织不少于4场中小微企业专利转化对接活动，参加活动人数不少于30人/场。</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w:t>
      </w:r>
      <w:r>
        <w:rPr>
          <w:rFonts w:hint="eastAsia" w:ascii="仿宋" w:hAnsi="仿宋" w:eastAsia="仿宋" w:cs="仿宋"/>
          <w:b w:val="0"/>
          <w:bCs w:val="0"/>
          <w:sz w:val="28"/>
          <w:szCs w:val="28"/>
        </w:rPr>
        <w:t>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ind w:firstLine="562"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rPr>
        <w:t>5</w:t>
      </w:r>
      <w:r>
        <w:rPr>
          <w:rFonts w:ascii="仿宋" w:hAnsi="仿宋" w:eastAsia="仿宋" w:cs="仿宋"/>
          <w:color w:val="000000"/>
          <w:sz w:val="28"/>
          <w:szCs w:val="28"/>
        </w:rPr>
        <w:t>年1</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val="0"/>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壹拾伍万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150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人民币玖</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90000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6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w:t>
      </w:r>
      <w:r>
        <w:rPr>
          <w:rFonts w:hint="eastAsia" w:ascii="仿宋" w:hAnsi="仿宋" w:eastAsia="仿宋" w:cs="仿宋"/>
          <w:color w:val="auto"/>
          <w:sz w:val="28"/>
          <w:szCs w:val="28"/>
          <w:lang w:bidi="ar"/>
        </w:rPr>
        <w:t>否则，应当依法承担相应的法律责任</w:t>
      </w:r>
      <w:r>
        <w:rPr>
          <w:rFonts w:hint="eastAsia" w:ascii="仿宋" w:hAnsi="仿宋" w:eastAsia="仿宋" w:cs="仿宋"/>
          <w:sz w:val="28"/>
          <w:szCs w:val="28"/>
          <w:lang w:bidi="ar"/>
        </w:rPr>
        <w:t>包括但不限于律师费、诉讼费、赔偿款、交通费、调查费等。</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6"/>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3"/>
        <w:numPr>
          <w:ilvl w:val="-1"/>
          <w:numId w:val="0"/>
        </w:numPr>
        <w:spacing w:line="560" w:lineRule="exact"/>
        <w:ind w:left="0" w:leftChars="0" w:firstLine="560"/>
        <w:rPr>
          <w:szCs w:val="21"/>
        </w:rPr>
      </w:pPr>
      <w:r>
        <w:rPr>
          <w:rFonts w:hint="eastAsia" w:ascii="仿宋" w:hAnsi="仿宋" w:eastAsia="仿宋" w:cs="仿宋"/>
          <w:sz w:val="28"/>
          <w:szCs w:val="28"/>
          <w:lang w:eastAsia="zh-CN"/>
        </w:rPr>
        <w:t>（一）</w:t>
      </w: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3"/>
        <w:widowControl w:val="0"/>
        <w:numPr>
          <w:ilvl w:val="-1"/>
          <w:numId w:val="0"/>
        </w:numPr>
        <w:spacing w:line="560" w:lineRule="exact"/>
        <w:ind w:left="0" w:firstLine="560"/>
        <w:rPr>
          <w:rFonts w:ascii="仿宋" w:hAnsi="仿宋" w:eastAsia="仿宋" w:cs="仿宋"/>
          <w:sz w:val="28"/>
          <w:szCs w:val="28"/>
        </w:rPr>
      </w:pPr>
      <w:r>
        <w:rPr>
          <w:rFonts w:hint="eastAsia" w:ascii="仿宋" w:hAnsi="仿宋" w:eastAsia="仿宋" w:cs="仿宋"/>
          <w:sz w:val="28"/>
          <w:szCs w:val="28"/>
          <w:lang w:eastAsia="zh-CN"/>
        </w:rPr>
        <w:t>（二）</w:t>
      </w: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8"/>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8"/>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0"/>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1"/>
        </w:numPr>
        <w:spacing w:line="560" w:lineRule="exact"/>
        <w:ind w:left="0" w:firstLine="608"/>
        <w:rPr>
          <w:rFonts w:ascii="仿宋" w:hAnsi="仿宋" w:eastAsia="仿宋" w:cs="仿宋"/>
          <w:szCs w:val="28"/>
        </w:rPr>
      </w:pPr>
      <w:r>
        <w:rPr>
          <w:rFonts w:hint="eastAsia" w:ascii="仿宋" w:hAnsi="仿宋" w:eastAsia="仿宋" w:cs="仿宋"/>
          <w:bCs/>
          <w:szCs w:val="28"/>
        </w:rPr>
        <w:t>江门市市场监督管理局</w:t>
      </w:r>
      <w:r>
        <w:rPr>
          <w:rFonts w:hint="eastAsia" w:ascii="仿宋" w:hAnsi="仿宋" w:eastAsia="仿宋" w:cs="仿宋"/>
          <w:bCs/>
          <w:szCs w:val="28"/>
          <w:lang w:eastAsia="zh-CN"/>
        </w:rPr>
        <w:t>开展</w:t>
      </w:r>
      <w:r>
        <w:rPr>
          <w:rFonts w:hint="eastAsia" w:ascii="仿宋" w:hAnsi="仿宋" w:eastAsia="仿宋" w:cs="仿宋"/>
          <w:szCs w:val="28"/>
        </w:rPr>
        <w:t>2025年</w:t>
      </w:r>
      <w:r>
        <w:rPr>
          <w:rFonts w:hint="eastAsia" w:ascii="仿宋" w:hAnsi="仿宋" w:eastAsia="仿宋" w:cs="仿宋"/>
          <w:kern w:val="2"/>
          <w:szCs w:val="28"/>
          <w:lang w:bidi="ar"/>
        </w:rPr>
        <w:t>专利转化需求对接</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1"/>
        </w:numPr>
        <w:spacing w:line="56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1"/>
        </w:numPr>
        <w:spacing w:line="56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pPr>
      <w:r>
        <w:rPr>
          <w:rFonts w:hint="eastAsia" w:ascii="仿宋" w:hAnsi="仿宋" w:eastAsia="仿宋" w:cs="仿宋"/>
          <w:sz w:val="28"/>
          <w:szCs w:val="28"/>
        </w:rPr>
        <w:t>（以下无正文）</w:t>
      </w:r>
    </w:p>
    <w:p>
      <w:pPr>
        <w:pStyle w:val="2"/>
        <w:spacing w:line="560" w:lineRule="exact"/>
        <w:ind w:firstLine="608"/>
        <w:rPr>
          <w:rFonts w:ascii="仿宋" w:hAnsi="仿宋" w:eastAsia="仿宋" w:cs="仿宋"/>
          <w:szCs w:val="28"/>
        </w:rPr>
      </w:pPr>
    </w:p>
    <w:p>
      <w:pPr>
        <w:widowControl/>
        <w:jc w:val="left"/>
        <w:rPr>
          <w:rFonts w:ascii="仿宋" w:hAnsi="仿宋" w:eastAsia="仿宋" w:cs="仿宋"/>
          <w:b/>
          <w:bCs/>
          <w:sz w:val="28"/>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3300DBEB"/>
    <w:multiLevelType w:val="singleLevel"/>
    <w:tmpl w:val="3300DBEB"/>
    <w:lvl w:ilvl="0" w:tentative="0">
      <w:start w:val="1"/>
      <w:numFmt w:val="decimal"/>
      <w:suff w:val="nothing"/>
      <w:lvlText w:val="%1、"/>
      <w:lvlJc w:val="left"/>
    </w:lvl>
  </w:abstractNum>
  <w:abstractNum w:abstractNumId="4">
    <w:nsid w:val="3335ACDB"/>
    <w:multiLevelType w:val="singleLevel"/>
    <w:tmpl w:val="3335ACDB"/>
    <w:lvl w:ilvl="0" w:tentative="0">
      <w:start w:val="10"/>
      <w:numFmt w:val="chineseCounting"/>
      <w:suff w:val="space"/>
      <w:lvlText w:val="第%1条"/>
      <w:lvlJc w:val="left"/>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0">
    <w:nsid w:val="7002F8F2"/>
    <w:multiLevelType w:val="singleLevel"/>
    <w:tmpl w:val="7002F8F2"/>
    <w:lvl w:ilvl="0" w:tentative="0">
      <w:start w:val="7"/>
      <w:numFmt w:val="chineseCounting"/>
      <w:suff w:val="space"/>
      <w:lvlText w:val="第%1条"/>
      <w:lvlJc w:val="left"/>
      <w:rPr>
        <w:rFonts w:hint="eastAsia"/>
      </w:rPr>
    </w:lvl>
  </w:abstractNum>
  <w:num w:numId="1">
    <w:abstractNumId w:val="3"/>
  </w:num>
  <w:num w:numId="2">
    <w:abstractNumId w:val="8"/>
  </w:num>
  <w:num w:numId="3">
    <w:abstractNumId w:val="9"/>
  </w:num>
  <w:num w:numId="4">
    <w:abstractNumId w:val="1"/>
  </w:num>
  <w:num w:numId="5">
    <w:abstractNumId w:val="6"/>
  </w:num>
  <w:num w:numId="6">
    <w:abstractNumId w:val="10"/>
  </w:num>
  <w:num w:numId="7">
    <w:abstractNumId w:val="2"/>
  </w:num>
  <w:num w:numId="8">
    <w:abstractNumId w:val="4"/>
  </w:num>
  <w:num w:numId="9">
    <w:abstractNumId w:val="5"/>
    <w:lvlOverride w:ilvl="0">
      <w:startOverride w:val="1"/>
    </w:lvlOverride>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50267"/>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9B5336"/>
    <w:rsid w:val="00A635F9"/>
    <w:rsid w:val="00AB5B9C"/>
    <w:rsid w:val="00AC6D3E"/>
    <w:rsid w:val="00B06102"/>
    <w:rsid w:val="00B2677F"/>
    <w:rsid w:val="00B449F4"/>
    <w:rsid w:val="00B86552"/>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EE6997"/>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BF2EEF"/>
    <w:rsid w:val="1FF77077"/>
    <w:rsid w:val="20075F93"/>
    <w:rsid w:val="21EC34F7"/>
    <w:rsid w:val="24EE444C"/>
    <w:rsid w:val="28F2788A"/>
    <w:rsid w:val="293A0576"/>
    <w:rsid w:val="2D016C87"/>
    <w:rsid w:val="2D427F00"/>
    <w:rsid w:val="2EFD933E"/>
    <w:rsid w:val="2FF91F6F"/>
    <w:rsid w:val="391A5AE0"/>
    <w:rsid w:val="3B19643C"/>
    <w:rsid w:val="3B44506A"/>
    <w:rsid w:val="3D586E13"/>
    <w:rsid w:val="3DBF2CC6"/>
    <w:rsid w:val="3FA76621"/>
    <w:rsid w:val="3FEE885D"/>
    <w:rsid w:val="404A6C17"/>
    <w:rsid w:val="43F43818"/>
    <w:rsid w:val="452404E0"/>
    <w:rsid w:val="469672CE"/>
    <w:rsid w:val="47C7B3FB"/>
    <w:rsid w:val="4B562BFB"/>
    <w:rsid w:val="4D261BEA"/>
    <w:rsid w:val="4DD70C4E"/>
    <w:rsid w:val="4E7F21B8"/>
    <w:rsid w:val="56E73ECF"/>
    <w:rsid w:val="5789094D"/>
    <w:rsid w:val="5ADD3DAF"/>
    <w:rsid w:val="5BB2671C"/>
    <w:rsid w:val="5BEF185C"/>
    <w:rsid w:val="5C7F65A2"/>
    <w:rsid w:val="5FF2302C"/>
    <w:rsid w:val="67BF78D1"/>
    <w:rsid w:val="690D3BC4"/>
    <w:rsid w:val="693B3F28"/>
    <w:rsid w:val="69E702D8"/>
    <w:rsid w:val="69FFC7DB"/>
    <w:rsid w:val="6B160BA9"/>
    <w:rsid w:val="6B7E7578"/>
    <w:rsid w:val="6C7B1287"/>
    <w:rsid w:val="6EE9ABBE"/>
    <w:rsid w:val="6F5F4F93"/>
    <w:rsid w:val="6FE33A2E"/>
    <w:rsid w:val="718B1CD0"/>
    <w:rsid w:val="72AF67A9"/>
    <w:rsid w:val="72ED0D2D"/>
    <w:rsid w:val="72F69685"/>
    <w:rsid w:val="73ED5ED3"/>
    <w:rsid w:val="73F70480"/>
    <w:rsid w:val="73FF34B6"/>
    <w:rsid w:val="73FFDE05"/>
    <w:rsid w:val="76A81E4D"/>
    <w:rsid w:val="77AFDE38"/>
    <w:rsid w:val="77CF9F6D"/>
    <w:rsid w:val="77F56405"/>
    <w:rsid w:val="79276609"/>
    <w:rsid w:val="79FD0554"/>
    <w:rsid w:val="7A6597BF"/>
    <w:rsid w:val="7AFF012B"/>
    <w:rsid w:val="7B5E7625"/>
    <w:rsid w:val="7B74E579"/>
    <w:rsid w:val="7B7F0CA8"/>
    <w:rsid w:val="7BBFEBE4"/>
    <w:rsid w:val="7E7DF820"/>
    <w:rsid w:val="7EFEE140"/>
    <w:rsid w:val="7EFF896B"/>
    <w:rsid w:val="7F3F9044"/>
    <w:rsid w:val="7F554FE6"/>
    <w:rsid w:val="7F6D3C6D"/>
    <w:rsid w:val="7F6F1D7B"/>
    <w:rsid w:val="7FBFF435"/>
    <w:rsid w:val="7FE76E8F"/>
    <w:rsid w:val="7FFC42F7"/>
    <w:rsid w:val="7FFD0E42"/>
    <w:rsid w:val="7FFD76A9"/>
    <w:rsid w:val="7FFD9E81"/>
    <w:rsid w:val="7FFF8470"/>
    <w:rsid w:val="937F704B"/>
    <w:rsid w:val="9BFB846D"/>
    <w:rsid w:val="9BFF8281"/>
    <w:rsid w:val="9CFB3564"/>
    <w:rsid w:val="B9FF9B5D"/>
    <w:rsid w:val="BFB7ADE0"/>
    <w:rsid w:val="C56F3A7E"/>
    <w:rsid w:val="C7C6DFFD"/>
    <w:rsid w:val="D4EE6EB3"/>
    <w:rsid w:val="D58839E7"/>
    <w:rsid w:val="D6BD59A0"/>
    <w:rsid w:val="DB9F3292"/>
    <w:rsid w:val="DDFE42F3"/>
    <w:rsid w:val="DE4E33FE"/>
    <w:rsid w:val="E3BA1C33"/>
    <w:rsid w:val="ED574106"/>
    <w:rsid w:val="EF5B1F24"/>
    <w:rsid w:val="EFB6C13E"/>
    <w:rsid w:val="EFD781C2"/>
    <w:rsid w:val="F12F7D7E"/>
    <w:rsid w:val="F3CF9E3A"/>
    <w:rsid w:val="F3FF984C"/>
    <w:rsid w:val="F733BBB1"/>
    <w:rsid w:val="F7CF81F5"/>
    <w:rsid w:val="F9CED2AB"/>
    <w:rsid w:val="F9CF0195"/>
    <w:rsid w:val="F9DACFC2"/>
    <w:rsid w:val="F9DF1A6A"/>
    <w:rsid w:val="FAFF6E21"/>
    <w:rsid w:val="FBA68888"/>
    <w:rsid w:val="FBBA6F5A"/>
    <w:rsid w:val="FBFE435D"/>
    <w:rsid w:val="FCBDA912"/>
    <w:rsid w:val="FDE67A45"/>
    <w:rsid w:val="FDF7FB9A"/>
    <w:rsid w:val="FF9B13A8"/>
    <w:rsid w:val="FFDFF615"/>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next w:val="1"/>
    <w:qFormat/>
    <w:uiPriority w:val="99"/>
    <w:pPr>
      <w:widowControl/>
      <w:ind w:firstLine="420" w:firstLineChars="200"/>
    </w:pPr>
  </w:style>
  <w:style w:type="paragraph" w:styleId="4">
    <w:name w:val="annotation text"/>
    <w:basedOn w:val="1"/>
    <w:link w:val="21"/>
    <w:qFormat/>
    <w:uiPriority w:val="0"/>
    <w:pPr>
      <w:jc w:val="left"/>
    </w:pPr>
  </w:style>
  <w:style w:type="paragraph" w:styleId="5">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4"/>
    <w:next w:val="4"/>
    <w:link w:val="22"/>
    <w:qFormat/>
    <w:uiPriority w:val="0"/>
    <w:rPr>
      <w:b/>
      <w:bCs/>
    </w:rPr>
  </w:style>
  <w:style w:type="paragraph" w:styleId="12">
    <w:name w:val="Body Text First Indent 2"/>
    <w:basedOn w:val="5"/>
    <w:next w:val="2"/>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4"/>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4451</Words>
  <Characters>906</Characters>
  <Lines>7</Lines>
  <Paragraphs>10</Paragraphs>
  <TotalTime>19</TotalTime>
  <ScaleCrop>false</ScaleCrop>
  <LinksUpToDate>false</LinksUpToDate>
  <CharactersWithSpaces>5347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2024-10-02T07:20:00Z</dcterms:created>
  <dc:creator>Administrator</dc:creator>
  <cp:lastModifiedBy>greatwall</cp:lastModifiedBy>
  <cp:lastPrinted>2025-06-07T18:55:00Z</cp:lastPrinted>
  <dcterms:modified xsi:type="dcterms:W3CDTF">2026-03-31T11:50:07Z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BDAAFE20B1AE47BA8997D3FBFCC1BC25_13</vt:lpwstr>
  </property>
</Properties>
</file>