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BEB6">
      <w:pPr>
        <w:spacing w:line="58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附件2：</w:t>
      </w:r>
    </w:p>
    <w:p w14:paraId="06C6A387">
      <w:pPr>
        <w:jc w:val="center"/>
        <w:rPr>
          <w:rFonts w:hint="default" w:ascii="Times New Roman" w:hAnsi="Times New Roman" w:eastAsia="方正大标宋_GBK" w:cs="Times New Roman"/>
          <w:b w:val="0"/>
          <w:bCs/>
          <w:kern w:val="0"/>
          <w:sz w:val="42"/>
          <w:szCs w:val="42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  <w:lang w:val="en"/>
        </w:rPr>
        <w:t>评分表</w:t>
      </w:r>
      <w:bookmarkEnd w:id="0"/>
    </w:p>
    <w:tbl>
      <w:tblPr>
        <w:tblStyle w:val="6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430"/>
        <w:gridCol w:w="6713"/>
        <w:gridCol w:w="896"/>
      </w:tblGrid>
      <w:tr w14:paraId="00E8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tblHeader/>
          <w:jc w:val="center"/>
        </w:trPr>
        <w:tc>
          <w:tcPr>
            <w:tcW w:w="662" w:type="dxa"/>
            <w:vAlign w:val="center"/>
          </w:tcPr>
          <w:p w14:paraId="3434E030">
            <w:pPr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430" w:type="dxa"/>
            <w:vAlign w:val="center"/>
          </w:tcPr>
          <w:p w14:paraId="2AA5111C">
            <w:pPr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  <w:t>评分项目及权重</w:t>
            </w:r>
          </w:p>
        </w:tc>
        <w:tc>
          <w:tcPr>
            <w:tcW w:w="6713" w:type="dxa"/>
            <w:vAlign w:val="center"/>
          </w:tcPr>
          <w:p w14:paraId="04D057EF">
            <w:pPr>
              <w:pStyle w:val="5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  <w:t>评分标准</w:t>
            </w:r>
          </w:p>
        </w:tc>
        <w:tc>
          <w:tcPr>
            <w:tcW w:w="896" w:type="dxa"/>
            <w:vAlign w:val="center"/>
          </w:tcPr>
          <w:p w14:paraId="75B8542B">
            <w:pPr>
              <w:pStyle w:val="5"/>
              <w:snapToGrid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8"/>
              </w:rPr>
              <w:t>得分</w:t>
            </w:r>
          </w:p>
        </w:tc>
      </w:tr>
      <w:tr w14:paraId="3EFB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662" w:type="dxa"/>
            <w:vAlign w:val="center"/>
          </w:tcPr>
          <w:p w14:paraId="46C182B1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0" w:type="dxa"/>
            <w:vAlign w:val="center"/>
          </w:tcPr>
          <w:p w14:paraId="66739BF8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价格</w:t>
            </w:r>
          </w:p>
          <w:p w14:paraId="447907AD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（15分）</w:t>
            </w:r>
          </w:p>
        </w:tc>
        <w:tc>
          <w:tcPr>
            <w:tcW w:w="6713" w:type="dxa"/>
            <w:vAlign w:val="center"/>
          </w:tcPr>
          <w:p w14:paraId="4B640F16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取满足采购文件要求且价格扣除后的最低投标报价作为评标基准价，其价格分为满分。其他供应商的价格分统一按照下列公式计算：价格扣除后的投标报价得分=（评标基准价/价格扣除后的投标报价）×15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 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（对符合规定的小型和微型企业（监狱企业、残疾人福利单位视同小型、微型企业）报价给予10%的价格扣除。）</w:t>
            </w:r>
          </w:p>
        </w:tc>
        <w:tc>
          <w:tcPr>
            <w:tcW w:w="896" w:type="dxa"/>
            <w:vAlign w:val="center"/>
          </w:tcPr>
          <w:p w14:paraId="0E60CE6A">
            <w:pPr>
              <w:pStyle w:val="5"/>
              <w:snapToGrid w:val="0"/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7A3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  <w:jc w:val="center"/>
        </w:trPr>
        <w:tc>
          <w:tcPr>
            <w:tcW w:w="662" w:type="dxa"/>
            <w:vAlign w:val="center"/>
          </w:tcPr>
          <w:p w14:paraId="6BE60258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0" w:type="dxa"/>
            <w:vAlign w:val="center"/>
          </w:tcPr>
          <w:p w14:paraId="288832A8">
            <w:pPr>
              <w:pStyle w:val="8"/>
              <w:spacing w:line="400" w:lineRule="exact"/>
              <w:ind w:left="1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实施方案</w:t>
            </w:r>
          </w:p>
          <w:p w14:paraId="506ADA8C">
            <w:pPr>
              <w:pStyle w:val="8"/>
              <w:spacing w:line="400" w:lineRule="exact"/>
              <w:ind w:left="1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（20分）</w:t>
            </w:r>
          </w:p>
        </w:tc>
        <w:tc>
          <w:tcPr>
            <w:tcW w:w="6713" w:type="dxa"/>
            <w:vAlign w:val="center"/>
          </w:tcPr>
          <w:p w14:paraId="0B76522C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根据投标人响应文件提供的运维服务实施方案（包括对项目的理解、投入人员力量、运维目标、运维内容、运维服务计划）进行评审： </w:t>
            </w:r>
          </w:p>
          <w:p w14:paraId="59394336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优：服务方案技术可行，内容完整，针对性强，完全满足招标需求，得20分；</w:t>
            </w:r>
          </w:p>
          <w:p w14:paraId="200FC1E6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良：服务方案技术较可行，内容较完整，针对性较强，能够满足招标需求，得15分；</w:t>
            </w:r>
          </w:p>
          <w:p w14:paraId="3A98DA39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中：服务方案一般，技术基本可行，内容基本完整，针对性一般，基本满足招标需求，得10分；</w:t>
            </w:r>
          </w:p>
          <w:p w14:paraId="28318994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差：服务方案差，技术基本不可行，内容缺失，针对性差，不能满足招标需求，得5分。</w:t>
            </w:r>
          </w:p>
          <w:p w14:paraId="5F9CECC3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注：未提供不得分。</w:t>
            </w:r>
          </w:p>
        </w:tc>
        <w:tc>
          <w:tcPr>
            <w:tcW w:w="896" w:type="dxa"/>
            <w:vAlign w:val="center"/>
          </w:tcPr>
          <w:p w14:paraId="02F8F8FB">
            <w:pPr>
              <w:pStyle w:val="5"/>
              <w:snapToGrid w:val="0"/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D32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662" w:type="dxa"/>
            <w:vAlign w:val="center"/>
          </w:tcPr>
          <w:p w14:paraId="305D5525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0" w:type="dxa"/>
            <w:vAlign w:val="center"/>
          </w:tcPr>
          <w:p w14:paraId="565C9BBF">
            <w:pPr>
              <w:pStyle w:val="8"/>
              <w:spacing w:line="360" w:lineRule="exact"/>
              <w:ind w:left="1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"/>
              </w:rPr>
              <w:t>应急保障</w:t>
            </w:r>
          </w:p>
          <w:p w14:paraId="0DEAA698">
            <w:pPr>
              <w:pStyle w:val="8"/>
              <w:spacing w:line="360" w:lineRule="exact"/>
              <w:ind w:left="1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"/>
              </w:rPr>
              <w:t>措施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(15分）</w:t>
            </w:r>
          </w:p>
        </w:tc>
        <w:tc>
          <w:tcPr>
            <w:tcW w:w="6713" w:type="dxa"/>
            <w:vAlign w:val="center"/>
          </w:tcPr>
          <w:p w14:paraId="06BA920D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针对本项目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制定相应的应急保障措施：</w:t>
            </w:r>
          </w:p>
          <w:p w14:paraId="45768828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1.建立了完善的应急处理机制且处理紧急、突发事件保障措施详细、完整、事件处理的执行力强、人员调配方案有效性高、保障措施针对性强，可行性高的，得15分；</w:t>
            </w:r>
          </w:p>
          <w:p w14:paraId="418EA52F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2.建立了较为完善的应急处理机制且处理紧急、突发事件保障措施清晰、完整，事件处理的执行力较强、人员调配方案具有一定的有效性、保障措施具有一定的针对性，可行性较高的，得10分；</w:t>
            </w:r>
          </w:p>
          <w:p w14:paraId="44F5EF43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3.建立了应急处理机制且处理紧急、突发事件保障措施描述较为清晰，事件处理具有一定的执行力、人员调配方案有效性较好、保障措施针对性一般，基本可行的，得8分； </w:t>
            </w:r>
          </w:p>
          <w:p w14:paraId="78E3F2E9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4.建立了应急处理机制但处理紧急、突发事件保障措施描述清晰度差，事件处理执行力一般、人员调配方案有效性一般、保障措施不具针对性，可行性较差的，得5分；</w:t>
            </w:r>
          </w:p>
          <w:p w14:paraId="04D0232E">
            <w:pPr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5.未建立应急处理机制，保障措施不具可行性的，得1分。</w:t>
            </w:r>
          </w:p>
          <w:p w14:paraId="17F112ED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b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注：未提供方案不得分。</w:t>
            </w:r>
          </w:p>
        </w:tc>
        <w:tc>
          <w:tcPr>
            <w:tcW w:w="896" w:type="dxa"/>
          </w:tcPr>
          <w:p w14:paraId="4EC19197">
            <w:pPr>
              <w:rPr>
                <w:rFonts w:ascii="Times New Roman" w:hAnsi="Times New Roman" w:cs="Times New Roman"/>
              </w:rPr>
            </w:pPr>
          </w:p>
        </w:tc>
      </w:tr>
      <w:tr w14:paraId="52C3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662" w:type="dxa"/>
            <w:vAlign w:val="center"/>
          </w:tcPr>
          <w:p w14:paraId="27736785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0" w:type="dxa"/>
            <w:vAlign w:val="center"/>
          </w:tcPr>
          <w:p w14:paraId="171612E1">
            <w:pPr>
              <w:pStyle w:val="8"/>
              <w:spacing w:line="400" w:lineRule="exact"/>
              <w:ind w:left="1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企业服务</w:t>
            </w:r>
          </w:p>
          <w:p w14:paraId="4456446B">
            <w:pPr>
              <w:pStyle w:val="8"/>
              <w:spacing w:line="400" w:lineRule="exact"/>
              <w:ind w:left="1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能力（5分）</w:t>
            </w:r>
          </w:p>
        </w:tc>
        <w:tc>
          <w:tcPr>
            <w:tcW w:w="6713" w:type="dxa"/>
            <w:vAlign w:val="center"/>
          </w:tcPr>
          <w:p w14:paraId="7296FE7E">
            <w:pPr>
              <w:pStyle w:val="9"/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具备ISO9001质量管理体系认证证书的得5分；</w:t>
            </w:r>
          </w:p>
          <w:p w14:paraId="531B6223">
            <w:pPr>
              <w:pStyle w:val="9"/>
              <w:spacing w:line="360" w:lineRule="exact"/>
              <w:ind w:left="513" w:leftChars="171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本项最高得分5分。</w:t>
            </w:r>
          </w:p>
          <w:p w14:paraId="5113BDF1">
            <w:pPr>
              <w:pStyle w:val="9"/>
              <w:spacing w:line="360" w:lineRule="exact"/>
              <w:rPr>
                <w:rFonts w:ascii="Times New Roman" w:hAnsi="Times New Roman" w:eastAsia="仿宋_GB2312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"/>
              </w:rPr>
              <w:t>注：须提供以上证书证明材料复印件，并加盖公章，不提供的不得分。</w:t>
            </w:r>
          </w:p>
        </w:tc>
        <w:tc>
          <w:tcPr>
            <w:tcW w:w="896" w:type="dxa"/>
            <w:vAlign w:val="center"/>
          </w:tcPr>
          <w:p w14:paraId="44488970">
            <w:pPr>
              <w:pStyle w:val="5"/>
              <w:snapToGrid w:val="0"/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C40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662" w:type="dxa"/>
            <w:vAlign w:val="center"/>
          </w:tcPr>
          <w:p w14:paraId="33A286F5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430" w:type="dxa"/>
            <w:vAlign w:val="center"/>
          </w:tcPr>
          <w:p w14:paraId="34FC5E94">
            <w:pPr>
              <w:pStyle w:val="8"/>
              <w:spacing w:line="400" w:lineRule="exact"/>
              <w:ind w:left="1"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等保测评</w:t>
            </w:r>
          </w:p>
          <w:p w14:paraId="0AD25D0F">
            <w:pPr>
              <w:pStyle w:val="8"/>
              <w:spacing w:line="400" w:lineRule="exact"/>
              <w:ind w:left="1"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工具要求</w:t>
            </w:r>
          </w:p>
          <w:p w14:paraId="7F8EF431">
            <w:pPr>
              <w:pStyle w:val="8"/>
              <w:spacing w:line="400" w:lineRule="exact"/>
              <w:ind w:left="1"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（9分）</w:t>
            </w:r>
          </w:p>
        </w:tc>
        <w:tc>
          <w:tcPr>
            <w:tcW w:w="6713" w:type="dxa"/>
            <w:vAlign w:val="center"/>
          </w:tcPr>
          <w:p w14:paraId="70AC2541">
            <w:pPr>
              <w:widowControl/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1、</w:t>
            </w:r>
            <w:r>
              <w:rPr>
                <w:rFonts w:ascii="Times New Roman" w:hAnsi="Times New Roman" w:eastAsia="仿宋_GB2312" w:cs="Times New Roman"/>
                <w:sz w:val="22"/>
              </w:rPr>
              <w:t>具备密码证书合规性检测工具或恶意代码分析工具，得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3</w:t>
            </w:r>
            <w:r>
              <w:rPr>
                <w:rFonts w:ascii="Times New Roman" w:hAnsi="Times New Roman" w:eastAsia="仿宋_GB2312" w:cs="Times New Roman"/>
                <w:sz w:val="22"/>
              </w:rPr>
              <w:t>分；</w:t>
            </w:r>
          </w:p>
          <w:p w14:paraId="092E391E">
            <w:pPr>
              <w:widowControl/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2、</w:t>
            </w:r>
            <w:r>
              <w:rPr>
                <w:rFonts w:ascii="Times New Roman" w:hAnsi="Times New Roman" w:eastAsia="仿宋_GB2312" w:cs="Times New Roman"/>
                <w:sz w:val="22"/>
              </w:rPr>
              <w:t>具备网络安全数据防泄露或网络安全基础数据管理工具，得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3</w:t>
            </w:r>
            <w:r>
              <w:rPr>
                <w:rFonts w:ascii="Times New Roman" w:hAnsi="Times New Roman" w:eastAsia="仿宋_GB2312" w:cs="Times New Roman"/>
                <w:sz w:val="22"/>
              </w:rPr>
              <w:t>分；</w:t>
            </w:r>
          </w:p>
          <w:p w14:paraId="535B730B">
            <w:pPr>
              <w:widowControl/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3、</w:t>
            </w:r>
            <w:r>
              <w:rPr>
                <w:rFonts w:ascii="Times New Roman" w:hAnsi="Times New Roman" w:eastAsia="仿宋_GB2312" w:cs="Times New Roman"/>
                <w:sz w:val="22"/>
              </w:rPr>
              <w:t>具备网络数据分类分级维度检测工具或数据包分析工具，得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3</w:t>
            </w:r>
            <w:r>
              <w:rPr>
                <w:rFonts w:ascii="Times New Roman" w:hAnsi="Times New Roman" w:eastAsia="仿宋_GB2312" w:cs="Times New Roman"/>
                <w:sz w:val="22"/>
              </w:rPr>
              <w:t>分。</w:t>
            </w:r>
          </w:p>
          <w:p w14:paraId="551D9D2A">
            <w:pPr>
              <w:pStyle w:val="9"/>
              <w:spacing w:line="36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注：需提供自主知识产权的软件著作权并加盖公章，不提供的不得分。</w:t>
            </w:r>
          </w:p>
          <w:p w14:paraId="68E8C95C">
            <w:pPr>
              <w:pStyle w:val="9"/>
              <w:spacing w:line="360" w:lineRule="exact"/>
              <w:ind w:left="513" w:leftChars="171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本项最高得分9分。</w:t>
            </w:r>
          </w:p>
        </w:tc>
        <w:tc>
          <w:tcPr>
            <w:tcW w:w="896" w:type="dxa"/>
            <w:vAlign w:val="center"/>
          </w:tcPr>
          <w:p w14:paraId="17E87830">
            <w:pPr>
              <w:pStyle w:val="5"/>
              <w:snapToGrid w:val="0"/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5E4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  <w:jc w:val="center"/>
        </w:trPr>
        <w:tc>
          <w:tcPr>
            <w:tcW w:w="662" w:type="dxa"/>
            <w:vAlign w:val="center"/>
          </w:tcPr>
          <w:p w14:paraId="220BC858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430" w:type="dxa"/>
            <w:vAlign w:val="center"/>
          </w:tcPr>
          <w:p w14:paraId="5D58045C">
            <w:pPr>
              <w:pStyle w:val="8"/>
              <w:spacing w:line="400" w:lineRule="exact"/>
              <w:ind w:left="1"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项目投入</w:t>
            </w:r>
          </w:p>
          <w:p w14:paraId="6338BAF1">
            <w:pPr>
              <w:pStyle w:val="8"/>
              <w:spacing w:line="400" w:lineRule="exact"/>
              <w:ind w:left="1"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人员（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16分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）</w:t>
            </w:r>
          </w:p>
        </w:tc>
        <w:tc>
          <w:tcPr>
            <w:tcW w:w="6713" w:type="dxa"/>
            <w:vAlign w:val="center"/>
          </w:tcPr>
          <w:p w14:paraId="50295B64">
            <w:pPr>
              <w:pStyle w:val="4"/>
              <w:spacing w:line="360" w:lineRule="exact"/>
              <w:ind w:firstLine="0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"/>
              </w:rPr>
              <w:t>1、投标人为本项目配备负责人1人：具有计算机类或网络专业高级及以上职称的得6分，具有计算机类或网络专业中级职称的得4分，具有计算机类或网络专业初级职称的得3分，不具有计算机类或网络专业职称的得0分。本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最高得分6分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"/>
              </w:rPr>
              <w:t>；</w:t>
            </w:r>
          </w:p>
          <w:p w14:paraId="5F37362E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kern w:val="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2、项目其他人员（负责人除外），具有计算机类或网络专业中级及以上职称的每个得4分；具有计算机类或网络专业初级职称的每个得3分，同一人提供多个职称证书的，只对其中一个最高职称进行打分。本项最高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得10分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。</w:t>
            </w:r>
          </w:p>
          <w:p w14:paraId="26B787BA">
            <w:pPr>
              <w:pStyle w:val="8"/>
              <w:spacing w:line="360" w:lineRule="exact"/>
              <w:ind w:left="1" w:firstLine="0" w:firstLineChars="0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注：须提供上述人员相应证书复印件，最近3个月任意1个月在该供应商单位缴纳的社保证明复印件并加盖公章。</w:t>
            </w:r>
          </w:p>
        </w:tc>
        <w:tc>
          <w:tcPr>
            <w:tcW w:w="896" w:type="dxa"/>
            <w:vAlign w:val="center"/>
          </w:tcPr>
          <w:p w14:paraId="74B88E54">
            <w:pPr>
              <w:pStyle w:val="5"/>
              <w:snapToGrid w:val="0"/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99C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662" w:type="dxa"/>
            <w:vAlign w:val="center"/>
          </w:tcPr>
          <w:p w14:paraId="03AC1B45">
            <w:pPr>
              <w:pStyle w:val="8"/>
              <w:spacing w:line="400" w:lineRule="exact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30" w:type="dxa"/>
            <w:vAlign w:val="center"/>
          </w:tcPr>
          <w:p w14:paraId="37DD8DB5">
            <w:pPr>
              <w:pStyle w:val="8"/>
              <w:spacing w:line="400" w:lineRule="exact"/>
              <w:ind w:left="1" w:firstLine="0" w:firstLineChars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同类项目</w:t>
            </w:r>
          </w:p>
          <w:p w14:paraId="6334E2B7">
            <w:pPr>
              <w:pStyle w:val="8"/>
              <w:spacing w:line="400" w:lineRule="exact"/>
              <w:ind w:left="1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业绩（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20分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"/>
              </w:rPr>
              <w:t>）</w:t>
            </w:r>
          </w:p>
        </w:tc>
        <w:tc>
          <w:tcPr>
            <w:tcW w:w="6713" w:type="dxa"/>
            <w:vAlign w:val="center"/>
          </w:tcPr>
          <w:p w14:paraId="12F162A4">
            <w:pPr>
              <w:pStyle w:val="9"/>
              <w:spacing w:line="360" w:lineRule="exac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自2021年1月1日起至投标截止时间前，投标人独立承接机动车环保检验机构监管系统运维等相关项目的，每提供一个得5分，最高得20分。不提供不得分。</w:t>
            </w:r>
            <w:r>
              <w:rPr>
                <w:rFonts w:hint="default" w:ascii="Times New Roman" w:hAnsi="Times New Roman" w:eastAsia="仿宋_GB2312" w:cs="Times New Roman"/>
                <w:bCs/>
                <w:sz w:val="22"/>
              </w:rPr>
              <w:t>注：需提供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合同关键页等证明材料复印件并加盖投标人公章，以合同签订时间为准。</w:t>
            </w:r>
          </w:p>
        </w:tc>
        <w:tc>
          <w:tcPr>
            <w:tcW w:w="896" w:type="dxa"/>
            <w:vAlign w:val="center"/>
          </w:tcPr>
          <w:p w14:paraId="76F610D7"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0AD9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2092" w:type="dxa"/>
            <w:gridSpan w:val="2"/>
            <w:vAlign w:val="center"/>
          </w:tcPr>
          <w:p w14:paraId="0E5A13AF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>综合得分</w:t>
            </w:r>
          </w:p>
        </w:tc>
        <w:tc>
          <w:tcPr>
            <w:tcW w:w="6713" w:type="dxa"/>
            <w:vAlign w:val="center"/>
          </w:tcPr>
          <w:p w14:paraId="6B3A3814">
            <w:pPr>
              <w:pStyle w:val="5"/>
              <w:spacing w:line="4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/>
              </w:rPr>
              <w:t>——</w:t>
            </w:r>
          </w:p>
        </w:tc>
        <w:tc>
          <w:tcPr>
            <w:tcW w:w="896" w:type="dxa"/>
            <w:vAlign w:val="center"/>
          </w:tcPr>
          <w:p w14:paraId="0BF7CE01"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</w:tbl>
    <w:p w14:paraId="6E212C19">
      <w:pPr>
        <w:spacing w:line="400" w:lineRule="exact"/>
        <w:ind w:left="722" w:hanging="723" w:hangingChars="300"/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注：1、以上提供的响应资料需在中标后提供原件核查，如经核查后存在弄虚作假行为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的，将取消服务资格。</w:t>
      </w:r>
    </w:p>
    <w:p w14:paraId="510B1428">
      <w:pPr>
        <w:spacing w:line="400" w:lineRule="exact"/>
        <w:ind w:firstLine="482" w:firstLineChars="200"/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2、请投标人在投标文件中标注以上评分项目证明资料对应的页码。</w:t>
      </w:r>
    </w:p>
    <w:p w14:paraId="79C04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91F7F"/>
    <w:multiLevelType w:val="multilevel"/>
    <w:tmpl w:val="35291F7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63DB8"/>
    <w:rsid w:val="31063DB8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semiHidden/>
    <w:qFormat/>
    <w:uiPriority w:val="0"/>
    <w:pPr>
      <w:ind w:left="1680"/>
    </w:pPr>
    <w:rPr>
      <w:rFonts w:eastAsia="Times New Roman"/>
      <w:sz w:val="32"/>
    </w:rPr>
  </w:style>
  <w:style w:type="paragraph" w:styleId="4">
    <w:name w:val="Normal Indent"/>
    <w:basedOn w:val="1"/>
    <w:qFormat/>
    <w:uiPriority w:val="0"/>
    <w:pPr>
      <w:spacing w:line="360" w:lineRule="auto"/>
      <w:ind w:firstLine="420"/>
    </w:pPr>
    <w:rPr>
      <w:rFonts w:ascii="宋体" w:eastAsia="宋体"/>
      <w:sz w:val="21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customStyle="1" w:styleId="8">
    <w:name w:val="正文缩进2格"/>
    <w:basedOn w:val="1"/>
    <w:next w:val="1"/>
    <w:qFormat/>
    <w:uiPriority w:val="99"/>
    <w:pPr>
      <w:spacing w:line="600" w:lineRule="exact"/>
      <w:ind w:firstLine="639" w:firstLineChars="206"/>
    </w:pPr>
    <w:rPr>
      <w:rFonts w:ascii="仿宋_GB2312" w:hAnsi="宋体"/>
      <w:sz w:val="31"/>
    </w:rPr>
  </w:style>
  <w:style w:type="paragraph" w:customStyle="1" w:styleId="9">
    <w:name w:val="表格文本"/>
    <w:basedOn w:val="1"/>
    <w:qFormat/>
    <w:uiPriority w:val="0"/>
    <w:pPr>
      <w:spacing w:line="276" w:lineRule="auto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2026-03-30T09:51:00Z</dcterms:created>
  <dc:creator>李耀明</dc:creator>
  <cp:lastModifiedBy>李耀明</cp:lastModifiedBy>
  <dcterms:modified xsi:type="dcterms:W3CDTF">2026-03-30T09:51:46Z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4A8C4CAFCBAC471AB7BDA9E4B3EF2F5E_11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