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line="600" w:lineRule="exact"/>
        <w:jc w:val="center"/>
        <w:rPr>
          <w:rFonts w:ascii="宋体" w:hAnsi="宋体" w:eastAsia="宋体" w:cs="宋体"/>
          <w:b/>
          <w:bCs/>
          <w:color w:val="000000" w:themeColor="text1"/>
          <w:sz w:val="44"/>
          <w:szCs w:val="44"/>
          <w:shd w:val="clear" w:color="auto" w:fill="FFFFFF"/>
          <w14:textFill>
            <w14:solidFill>
              <w14:schemeClr w14:val="tx1"/>
            </w14:solidFill>
          </w14:textFill>
        </w:rPr>
      </w:pPr>
      <w:r>
        <w:rPr>
          <w:rFonts w:hint="eastAsia" w:ascii="宋体" w:hAnsi="宋体" w:eastAsia="宋体" w:cs="宋体"/>
          <w:b/>
          <w:bCs/>
          <w:color w:val="000000" w:themeColor="text1"/>
          <w:sz w:val="44"/>
          <w:szCs w:val="44"/>
          <w:shd w:val="clear" w:color="auto" w:fill="FFFFFF"/>
          <w14:textFill>
            <w14:solidFill>
              <w14:schemeClr w14:val="tx1"/>
            </w14:solidFill>
          </w14:textFill>
        </w:rPr>
        <w:t>江门市市场监督管理局开展知识产权强企培育项目服务合同</w:t>
      </w:r>
    </w:p>
    <w:p>
      <w:pPr>
        <w:spacing w:beforeLines="0" w:line="60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beforeLines="0" w:line="60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beforeLines="0" w:line="60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beforeLines="0" w:line="60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0750-316830</w:t>
      </w:r>
      <w:r>
        <w:rPr>
          <w:rFonts w:hint="eastAsia" w:ascii="仿宋" w:hAnsi="仿宋" w:eastAsia="仿宋" w:cs="仿宋"/>
          <w:color w:val="000000"/>
          <w:sz w:val="28"/>
          <w:szCs w:val="28"/>
        </w:rPr>
        <w:t>2</w:t>
      </w:r>
    </w:p>
    <w:p>
      <w:pPr>
        <w:spacing w:beforeLines="0" w:line="60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beforeLines="0" w:line="600" w:lineRule="exact"/>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beforeLines="0" w:line="600" w:lineRule="exact"/>
        <w:rPr>
          <w:rFonts w:ascii="仿宋" w:hAnsi="仿宋" w:eastAsia="仿宋" w:cs="仿宋"/>
          <w:color w:val="666666"/>
          <w:sz w:val="28"/>
          <w:szCs w:val="28"/>
          <w:shd w:val="clear" w:color="auto" w:fill="FFFFFF"/>
        </w:rPr>
      </w:pPr>
      <w:r>
        <w:rPr>
          <w:rFonts w:hint="eastAsia" w:ascii="仿宋" w:hAnsi="仿宋" w:eastAsia="仿宋" w:cs="仿宋"/>
          <w:color w:val="000000"/>
          <w:sz w:val="28"/>
          <w:szCs w:val="28"/>
        </w:rPr>
        <w:t xml:space="preserve">电话：  </w:t>
      </w:r>
    </w:p>
    <w:p>
      <w:pPr>
        <w:widowControl/>
        <w:spacing w:beforeLines="0" w:line="600" w:lineRule="exact"/>
        <w:ind w:firstLine="560" w:firstLineChars="200"/>
        <w:jc w:val="left"/>
        <w:rPr>
          <w:rFonts w:ascii="仿宋" w:hAnsi="仿宋" w:eastAsia="仿宋" w:cs="仿宋"/>
          <w:sz w:val="28"/>
          <w:szCs w:val="28"/>
        </w:rPr>
      </w:pPr>
    </w:p>
    <w:p>
      <w:pPr>
        <w:widowControl/>
        <w:spacing w:beforeLines="0" w:line="600" w:lineRule="exact"/>
        <w:ind w:firstLine="560" w:firstLineChars="200"/>
        <w:jc w:val="left"/>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w:t>
      </w:r>
      <w:r>
        <w:rPr>
          <w:rFonts w:hint="eastAsia" w:ascii="仿宋" w:hAnsi="仿宋" w:eastAsia="仿宋" w:cs="仿宋"/>
          <w:sz w:val="28"/>
          <w:szCs w:val="28"/>
        </w:rPr>
        <w:t>局</w:t>
      </w:r>
      <w:r>
        <w:rPr>
          <w:rFonts w:hint="eastAsia" w:ascii="仿宋" w:hAnsi="仿宋" w:eastAsia="仿宋" w:cs="仿宋"/>
          <w:bCs/>
          <w:sz w:val="28"/>
          <w:szCs w:val="28"/>
        </w:rPr>
        <w:t>开</w:t>
      </w:r>
      <w:r>
        <w:rPr>
          <w:rFonts w:hint="eastAsia" w:ascii="仿宋" w:hAnsi="仿宋" w:eastAsia="仿宋" w:cs="仿宋"/>
          <w:sz w:val="28"/>
          <w:szCs w:val="28"/>
        </w:rPr>
        <w:t>展</w:t>
      </w:r>
      <w:r>
        <w:rPr>
          <w:rFonts w:hint="eastAsia" w:ascii="仿宋" w:hAnsi="仿宋" w:eastAsia="仿宋" w:cs="仿宋"/>
          <w:b w:val="0"/>
          <w:bCs/>
          <w:color w:val="auto"/>
          <w:sz w:val="28"/>
          <w:szCs w:val="28"/>
          <w:shd w:val="clear" w:color="auto" w:fill="auto"/>
        </w:rPr>
        <w:t>知识产权强企培育</w:t>
      </w:r>
      <w:r>
        <w:rPr>
          <w:rFonts w:hint="eastAsia" w:ascii="仿宋" w:hAnsi="仿宋" w:eastAsia="仿宋" w:cs="仿宋"/>
          <w:sz w:val="28"/>
          <w:szCs w:val="28"/>
        </w:rPr>
        <w:t>项目”（项目编号：</w:t>
      </w:r>
      <w:r>
        <w:rPr>
          <w:rFonts w:hint="eastAsia" w:ascii="仿宋" w:hAnsi="仿宋" w:eastAsia="仿宋" w:cs="仿宋"/>
          <w:sz w:val="28"/>
          <w:szCs w:val="28"/>
          <w:lang w:val="en-US" w:eastAsia="zh-CN"/>
        </w:rPr>
        <w:t>2025021</w:t>
      </w:r>
      <w:r>
        <w:rPr>
          <w:rFonts w:hint="eastAsia" w:ascii="仿宋" w:hAnsi="仿宋" w:eastAsia="仿宋" w:cs="仿宋"/>
          <w:bCs/>
          <w:sz w:val="28"/>
          <w:szCs w:val="28"/>
        </w:rPr>
        <w:t>）</w:t>
      </w:r>
      <w:r>
        <w:rPr>
          <w:rFonts w:hint="eastAsia" w:ascii="仿宋" w:hAnsi="仿宋" w:eastAsia="仿宋" w:cs="仿宋"/>
          <w:sz w:val="28"/>
          <w:szCs w:val="28"/>
        </w:rPr>
        <w:t>（以下</w:t>
      </w:r>
      <w:r>
        <w:rPr>
          <w:rFonts w:hint="eastAsia" w:ascii="仿宋" w:hAnsi="仿宋" w:eastAsia="仿宋" w:cs="仿宋"/>
          <w:bCs/>
          <w:sz w:val="28"/>
          <w:szCs w:val="28"/>
        </w:rPr>
        <w:t>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beforeLines="0" w:line="60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9"/>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甲方委托乙方承办甲方关于江门市市场监督管</w:t>
      </w:r>
      <w:r>
        <w:rPr>
          <w:rFonts w:hint="eastAsia" w:ascii="仿宋" w:hAnsi="仿宋" w:eastAsia="仿宋" w:cs="仿宋"/>
          <w:bCs/>
          <w:kern w:val="2"/>
          <w:sz w:val="28"/>
          <w:szCs w:val="28"/>
        </w:rPr>
        <w:t>理局</w:t>
      </w:r>
      <w:r>
        <w:rPr>
          <w:rFonts w:hint="eastAsia" w:ascii="仿宋" w:hAnsi="仿宋" w:eastAsia="仿宋" w:cs="仿宋"/>
          <w:sz w:val="28"/>
          <w:szCs w:val="28"/>
        </w:rPr>
        <w:t>开展</w:t>
      </w:r>
      <w:r>
        <w:rPr>
          <w:rFonts w:hint="eastAsia" w:ascii="仿宋" w:hAnsi="仿宋" w:eastAsia="仿宋" w:cs="仿宋"/>
          <w:bCs/>
          <w:sz w:val="28"/>
          <w:szCs w:val="28"/>
        </w:rPr>
        <w:t>知识产权强企培育</w:t>
      </w:r>
      <w:r>
        <w:rPr>
          <w:rFonts w:hint="eastAsia" w:ascii="仿宋" w:hAnsi="仿宋" w:eastAsia="仿宋" w:cs="仿宋"/>
          <w:sz w:val="28"/>
          <w:szCs w:val="28"/>
        </w:rPr>
        <w:t>项目，乙方的工作内容包括，协助</w:t>
      </w:r>
      <w:r>
        <w:rPr>
          <w:rFonts w:hint="eastAsia" w:ascii="仿宋" w:hAnsi="仿宋" w:eastAsia="仿宋" w:cs="仿宋"/>
          <w:b w:val="0"/>
          <w:bCs w:val="0"/>
          <w:kern w:val="0"/>
          <w:sz w:val="28"/>
          <w:szCs w:val="28"/>
        </w:rPr>
        <w:t>组织江门企业到省内先进地区学习交流</w:t>
      </w:r>
      <w:r>
        <w:rPr>
          <w:rFonts w:hint="eastAsia" w:ascii="仿宋" w:hAnsi="仿宋" w:eastAsia="仿宋" w:cs="仿宋"/>
          <w:sz w:val="28"/>
          <w:szCs w:val="28"/>
        </w:rPr>
        <w:t>，</w:t>
      </w:r>
      <w:r>
        <w:rPr>
          <w:rFonts w:hint="eastAsia" w:ascii="仿宋" w:hAnsi="仿宋" w:eastAsia="仿宋" w:cs="仿宋"/>
          <w:b w:val="0"/>
          <w:bCs w:val="0"/>
          <w:kern w:val="0"/>
          <w:sz w:val="28"/>
          <w:szCs w:val="28"/>
        </w:rPr>
        <w:t>组织并辅导企业高质量申报国家和省级知识产权优势示范企业项目、知识产权奖励项目和赛事等</w:t>
      </w:r>
      <w:r>
        <w:rPr>
          <w:rFonts w:hint="eastAsia" w:ascii="仿宋" w:hAnsi="仿宋" w:eastAsia="仿宋" w:cs="仿宋"/>
          <w:sz w:val="28"/>
          <w:szCs w:val="28"/>
        </w:rPr>
        <w:t>，</w:t>
      </w:r>
      <w:r>
        <w:rPr>
          <w:rFonts w:hint="eastAsia" w:ascii="仿宋" w:hAnsi="仿宋" w:eastAsia="仿宋" w:cs="仿宋"/>
          <w:b w:val="0"/>
          <w:bCs w:val="0"/>
          <w:sz w:val="28"/>
          <w:szCs w:val="28"/>
        </w:rPr>
        <w:t>印刷知识产权相关宣传材料</w:t>
      </w:r>
      <w:r>
        <w:rPr>
          <w:rFonts w:hint="eastAsia" w:ascii="仿宋" w:hAnsi="仿宋" w:eastAsia="仿宋" w:cs="仿宋"/>
          <w:sz w:val="28"/>
          <w:szCs w:val="28"/>
        </w:rPr>
        <w:t>等工作。具体工作内容及要求如下：</w:t>
      </w:r>
    </w:p>
    <w:p>
      <w:pPr>
        <w:widowControl/>
        <w:numPr>
          <w:ilvl w:val="255"/>
          <w:numId w:val="0"/>
        </w:numPr>
        <w:adjustRightInd/>
        <w:snapToGrid/>
        <w:spacing w:beforeLines="0" w:line="600" w:lineRule="exact"/>
        <w:ind w:firstLine="562" w:firstLineChars="200"/>
        <w:jc w:val="left"/>
        <w:rPr>
          <w:rFonts w:ascii="仿宋" w:hAnsi="仿宋" w:eastAsia="仿宋" w:cs="仿宋"/>
          <w:kern w:val="0"/>
          <w:sz w:val="28"/>
          <w:szCs w:val="28"/>
        </w:rPr>
      </w:pPr>
      <w:r>
        <w:rPr>
          <w:rFonts w:hint="eastAsia" w:ascii="仿宋" w:hAnsi="仿宋" w:eastAsia="仿宋" w:cs="仿宋"/>
          <w:b/>
          <w:bCs/>
          <w:kern w:val="0"/>
          <w:sz w:val="28"/>
          <w:szCs w:val="28"/>
        </w:rPr>
        <w:t>（一）乙方协助</w:t>
      </w:r>
      <w:r>
        <w:rPr>
          <w:rFonts w:hint="eastAsia" w:ascii="仿宋" w:hAnsi="仿宋" w:eastAsia="仿宋" w:cs="仿宋"/>
          <w:b/>
          <w:bCs/>
          <w:sz w:val="28"/>
          <w:szCs w:val="28"/>
        </w:rPr>
        <w:t>组织江门企业到</w:t>
      </w:r>
      <w:bookmarkStart w:id="0" w:name="OLE_LINK3"/>
      <w:r>
        <w:rPr>
          <w:rFonts w:hint="eastAsia" w:ascii="仿宋" w:hAnsi="仿宋" w:eastAsia="仿宋" w:cs="仿宋"/>
          <w:b/>
          <w:bCs/>
          <w:sz w:val="28"/>
          <w:szCs w:val="28"/>
        </w:rPr>
        <w:t>省内先进地区学习交流</w:t>
      </w:r>
      <w:bookmarkEnd w:id="0"/>
      <w:r>
        <w:rPr>
          <w:rFonts w:hint="eastAsia" w:ascii="仿宋" w:hAnsi="仿宋" w:eastAsia="仿宋" w:cs="仿宋"/>
          <w:kern w:val="0"/>
          <w:sz w:val="28"/>
          <w:szCs w:val="28"/>
        </w:rPr>
        <w:t>。</w:t>
      </w:r>
    </w:p>
    <w:p>
      <w:pPr>
        <w:widowControl/>
        <w:adjustRightInd/>
        <w:snapToGrid/>
        <w:spacing w:beforeLines="0" w:line="60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组织江门企业代表前往省内先进地区的省级及以上知识产权示范优势企业或知识产权运营中心进行学习交流。通过实地参观企业，直观了解企业在知识产权管理方面的实际操作流程和创新举措。组织与省级及以上知识产权示范优势企业或知识产权运营中心的管理人员和技术人员进行面对面的交流座谈，分享各自在知识产权战略规划、专利申请与维护、知识产权运营等方面的经验做法。组织2期，每期参与人数不少于30人次、时间1天，安排参观2家省级及以上知识产权示范优势企业或知识产权运营中心。</w:t>
      </w:r>
    </w:p>
    <w:p>
      <w:pPr>
        <w:widowControl/>
        <w:numPr>
          <w:ilvl w:val="255"/>
          <w:numId w:val="0"/>
        </w:numPr>
        <w:spacing w:beforeLines="0" w:line="600" w:lineRule="exact"/>
        <w:ind w:firstLine="562" w:firstLineChars="200"/>
        <w:jc w:val="left"/>
        <w:rPr>
          <w:rFonts w:ascii="仿宋" w:hAnsi="仿宋" w:eastAsia="仿宋" w:cs="仿宋"/>
          <w:sz w:val="28"/>
          <w:szCs w:val="28"/>
        </w:rPr>
      </w:pPr>
      <w:r>
        <w:rPr>
          <w:rFonts w:hint="eastAsia" w:ascii="仿宋" w:hAnsi="仿宋" w:eastAsia="仿宋" w:cs="仿宋"/>
          <w:b/>
          <w:bCs/>
          <w:sz w:val="28"/>
          <w:szCs w:val="28"/>
        </w:rPr>
        <w:t>（二）组织并辅导企业高质量申报国家和省级知识产权优势示范企业项目、知识产权奖励项目和赛事等</w:t>
      </w:r>
      <w:r>
        <w:rPr>
          <w:rFonts w:hint="eastAsia" w:ascii="仿宋" w:hAnsi="仿宋" w:eastAsia="仿宋" w:cs="仿宋"/>
          <w:sz w:val="28"/>
          <w:szCs w:val="28"/>
        </w:rPr>
        <w:t>，提升创新主体知识产权运用转化能力。对不少于10家企业进行重点辅导和服务。</w:t>
      </w:r>
    </w:p>
    <w:p>
      <w:pPr>
        <w:widowControl/>
        <w:spacing w:beforeLines="0" w:line="600" w:lineRule="exact"/>
        <w:ind w:firstLine="562" w:firstLineChars="200"/>
        <w:jc w:val="left"/>
        <w:rPr>
          <w:rFonts w:ascii="仿宋" w:hAnsi="仿宋" w:eastAsia="仿宋" w:cs="仿宋"/>
          <w:b/>
          <w:bCs/>
          <w:sz w:val="28"/>
          <w:szCs w:val="28"/>
        </w:rPr>
      </w:pPr>
      <w:r>
        <w:rPr>
          <w:rFonts w:ascii="仿宋" w:hAnsi="仿宋" w:eastAsia="仿宋" w:cs="仿宋"/>
          <w:b/>
          <w:bCs/>
          <w:sz w:val="28"/>
          <w:szCs w:val="28"/>
        </w:rPr>
        <w:t>1.调查企业意愿，筛选重点辅导企业</w:t>
      </w:r>
    </w:p>
    <w:p>
      <w:pPr>
        <w:widowControl/>
        <w:spacing w:beforeLines="0"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为更好地为企业提供针对性的公共服务，提高各项知识产权称号、奖励和赛事的申报成功率，将对历年积极申报国家知识产权优势示范企业及省知识产权示范企业的信息进行采集，发出征集通知，了解企业参与2025年度申报国家和省级知识产权优势示范企业，以及知识产权奖励和赛事等项目的意愿。项目承担方需结合企业所在行业、规模大小、知识产权建设及工作成效等，筛选出至少10家企业，针对薄弱项提供针对性辅导。累计咨询服务时间每家企业不少于7天。</w:t>
      </w:r>
    </w:p>
    <w:p>
      <w:pPr>
        <w:widowControl/>
        <w:spacing w:beforeLines="0" w:line="600" w:lineRule="exact"/>
        <w:ind w:firstLine="562" w:firstLineChars="200"/>
        <w:jc w:val="left"/>
        <w:rPr>
          <w:rFonts w:ascii="仿宋" w:hAnsi="仿宋" w:eastAsia="仿宋" w:cs="仿宋"/>
          <w:b/>
          <w:bCs/>
          <w:sz w:val="28"/>
          <w:szCs w:val="28"/>
        </w:rPr>
      </w:pPr>
      <w:r>
        <w:rPr>
          <w:rFonts w:ascii="仿宋" w:hAnsi="仿宋" w:eastAsia="仿宋" w:cs="仿宋"/>
          <w:b/>
          <w:bCs/>
          <w:sz w:val="28"/>
          <w:szCs w:val="28"/>
        </w:rPr>
        <w:t>2.</w:t>
      </w:r>
      <w:r>
        <w:rPr>
          <w:rFonts w:hint="eastAsia" w:ascii="仿宋" w:hAnsi="仿宋" w:eastAsia="仿宋" w:cs="仿宋"/>
          <w:b/>
          <w:bCs/>
          <w:sz w:val="28"/>
          <w:szCs w:val="28"/>
        </w:rPr>
        <w:t>为重点企业提供针对性辅导，形成强企服务分析报告</w:t>
      </w:r>
    </w:p>
    <w:p>
      <w:pPr>
        <w:widowControl/>
        <w:spacing w:beforeLines="0"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为进一步了解企业真实知识产权状况，对标国家和省级知识产权优势示范企业，以及知识产权奖励和赛事标准，提供专业政策解读和企业申报指导。组建3-5位知识产权领域实务专家的服务小组，专家需具备专利、商标代理、法律服务或企业知识产权管理等经验，服务企业不少于10家，为企业知识产权方面诊断把脉，免费为企业提供针对性的“一对一”申报辅导。对服务企业主动开展走访，促进专家与企业知识产权管理人员面对面交流，深入了解企业知识产权现状与潜在问题，提供定制化服务，包括但不限于提供政策解读、申报指导、材料准备支持以及后续跟踪服务等，做到一企一策，每家企业形成强企服务分析报告。</w:t>
      </w:r>
    </w:p>
    <w:p>
      <w:pPr>
        <w:widowControl/>
        <w:numPr>
          <w:ilvl w:val="255"/>
          <w:numId w:val="0"/>
        </w:numPr>
        <w:spacing w:beforeLines="0" w:line="600" w:lineRule="exact"/>
        <w:ind w:firstLine="562" w:firstLineChars="200"/>
        <w:jc w:val="left"/>
        <w:rPr>
          <w:rFonts w:ascii="仿宋" w:hAnsi="仿宋" w:eastAsia="仿宋" w:cs="仿宋"/>
          <w:b/>
          <w:bCs/>
          <w:sz w:val="28"/>
          <w:szCs w:val="28"/>
        </w:rPr>
      </w:pPr>
      <w:r>
        <w:rPr>
          <w:rFonts w:ascii="仿宋" w:hAnsi="仿宋" w:eastAsia="仿宋" w:cs="仿宋"/>
          <w:b/>
          <w:bCs/>
          <w:sz w:val="28"/>
          <w:szCs w:val="28"/>
        </w:rPr>
        <w:t>3.设置专线接受企业咨询</w:t>
      </w:r>
    </w:p>
    <w:p>
      <w:pPr>
        <w:widowControl/>
        <w:spacing w:beforeLines="0"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项目承担方辅助设置专门服务途径，如开通热线电话和邮箱，及时为企业提供国家和省级知识产权优势示范企业项目、知识产权奖励项目和赛事方面的咨询解答，作为市市场监管局提供国家和省级知识产权优势示范企业项目、知识产权奖励项目和赛事方面答疑补充。同时通过官网、公众号等渠道推送相关政策，帮助企业了解申报流程、解答常见问题，从而为企业提供更好的服务支持，提高企业申报效率。累计咨询服务时间不少于132小时。</w:t>
      </w:r>
    </w:p>
    <w:p>
      <w:pPr>
        <w:widowControl/>
        <w:numPr>
          <w:ilvl w:val="255"/>
          <w:numId w:val="0"/>
        </w:numPr>
        <w:spacing w:beforeLines="0" w:line="600" w:lineRule="exact"/>
        <w:ind w:firstLine="562" w:firstLineChars="200"/>
        <w:jc w:val="left"/>
        <w:rPr>
          <w:rFonts w:ascii="仿宋" w:hAnsi="仿宋" w:eastAsia="仿宋" w:cs="仿宋"/>
          <w:kern w:val="0"/>
          <w:sz w:val="28"/>
          <w:szCs w:val="28"/>
        </w:rPr>
      </w:pPr>
      <w:r>
        <w:rPr>
          <w:rFonts w:hint="eastAsia" w:ascii="仿宋" w:hAnsi="仿宋" w:eastAsia="仿宋" w:cs="仿宋"/>
          <w:b/>
          <w:bCs/>
          <w:kern w:val="0"/>
          <w:sz w:val="28"/>
          <w:szCs w:val="28"/>
        </w:rPr>
        <w:t>（三）印刷知识产权相关宣传材料不少于3000本</w:t>
      </w:r>
      <w:r>
        <w:rPr>
          <w:rFonts w:hint="eastAsia" w:ascii="仿宋" w:hAnsi="仿宋" w:eastAsia="仿宋" w:cs="仿宋"/>
          <w:kern w:val="0"/>
          <w:sz w:val="28"/>
          <w:szCs w:val="28"/>
        </w:rPr>
        <w:t>，（</w:t>
      </w:r>
      <w:r>
        <w:rPr>
          <w:rFonts w:hint="eastAsia" w:ascii="仿宋" w:hAnsi="仿宋" w:eastAsia="仿宋" w:cs="仿宋"/>
          <w:color w:val="auto"/>
          <w:kern w:val="0"/>
          <w:sz w:val="28"/>
          <w:szCs w:val="28"/>
          <w:shd w:val="clear" w:color="auto" w:fill="auto"/>
          <w:lang w:bidi="ar"/>
        </w:rPr>
        <w:t>单页尺寸：19cm*12cm,</w:t>
      </w:r>
      <w:r>
        <w:rPr>
          <w:rFonts w:ascii="仿宋" w:hAnsi="仿宋" w:eastAsia="仿宋" w:cs="仿宋"/>
          <w:color w:val="auto"/>
          <w:kern w:val="0"/>
          <w:sz w:val="28"/>
          <w:szCs w:val="28"/>
          <w:shd w:val="clear" w:color="auto" w:fill="auto"/>
          <w:lang w:bidi="ar"/>
        </w:rPr>
        <w:t xml:space="preserve"> </w:t>
      </w:r>
      <w:r>
        <w:rPr>
          <w:rFonts w:hint="eastAsia" w:ascii="仿宋" w:hAnsi="仿宋" w:eastAsia="仿宋" w:cs="仿宋"/>
          <w:color w:val="auto"/>
          <w:kern w:val="0"/>
          <w:sz w:val="28"/>
          <w:szCs w:val="28"/>
          <w:shd w:val="clear" w:color="auto" w:fill="auto"/>
          <w:lang w:bidi="ar"/>
        </w:rPr>
        <w:t>材质及工艺要求：四色印刷，封面封底300g铜版纸过哑膜局部激凸+UV工艺；内页157g双胶纸，共计64P（含封面封底）；装订要求：锁线胶装装订。</w:t>
      </w:r>
      <w:r>
        <w:rPr>
          <w:rFonts w:hint="eastAsia" w:ascii="仿宋" w:hAnsi="仿宋" w:eastAsia="仿宋" w:cs="仿宋"/>
          <w:kern w:val="0"/>
          <w:sz w:val="28"/>
          <w:szCs w:val="28"/>
        </w:rPr>
        <w:t>），方便企业和个人了解知识产权相关知识。</w:t>
      </w:r>
    </w:p>
    <w:p>
      <w:pPr>
        <w:snapToGrid w:val="0"/>
        <w:spacing w:beforeLines="0" w:line="600" w:lineRule="exact"/>
        <w:ind w:firstLine="562" w:firstLineChars="200"/>
        <w:rPr>
          <w:rFonts w:ascii="仿宋" w:hAnsi="仿宋" w:eastAsia="仿宋" w:cs="仿宋"/>
          <w:sz w:val="28"/>
          <w:szCs w:val="28"/>
        </w:rPr>
      </w:pPr>
      <w:r>
        <w:rPr>
          <w:rFonts w:hint="eastAsia" w:ascii="仿宋" w:hAnsi="仿宋" w:eastAsia="仿宋" w:cs="仿宋"/>
          <w:b/>
          <w:bCs/>
          <w:sz w:val="28"/>
          <w:szCs w:val="28"/>
        </w:rPr>
        <w:t>（四）乙方负责人员管理工作。</w:t>
      </w:r>
      <w:r>
        <w:rPr>
          <w:rFonts w:hint="eastAsia" w:ascii="仿宋" w:hAnsi="仿宋" w:eastAsia="仿宋" w:cs="仿宋"/>
          <w:sz w:val="28"/>
          <w:szCs w:val="28"/>
        </w:rPr>
        <w:t>对参加项目人员的交通、餐饮等相关工作进行统筹及执行，保证整体活动有序开展。</w:t>
      </w:r>
    </w:p>
    <w:p>
      <w:pPr>
        <w:pStyle w:val="18"/>
        <w:widowControl/>
        <w:spacing w:beforeLines="0" w:line="6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pStyle w:val="18"/>
        <w:widowControl/>
        <w:spacing w:beforeLines="0" w:line="600" w:lineRule="exact"/>
        <w:ind w:firstLine="560" w:firstLineChars="200"/>
        <w:rPr>
          <w:rFonts w:ascii="仿宋" w:hAnsi="仿宋" w:eastAsia="仿宋" w:cs="Times New Roman"/>
          <w:sz w:val="32"/>
          <w:szCs w:val="32"/>
        </w:rPr>
      </w:pPr>
      <w:r>
        <w:rPr>
          <w:rFonts w:hint="eastAsia" w:ascii="仿宋" w:hAnsi="仿宋" w:eastAsia="仿宋" w:cs="仿宋"/>
          <w:color w:val="000000"/>
          <w:sz w:val="28"/>
          <w:szCs w:val="28"/>
        </w:rPr>
        <w:t>（一）乙方向甲方提供服务的合同期限为自本合同签订生效之日起至</w:t>
      </w:r>
      <w:r>
        <w:rPr>
          <w:rFonts w:ascii="仿宋" w:hAnsi="仿宋" w:eastAsia="仿宋" w:cs="仿宋"/>
          <w:color w:val="000000"/>
          <w:sz w:val="28"/>
          <w:szCs w:val="28"/>
        </w:rPr>
        <w:t>202</w:t>
      </w:r>
      <w:r>
        <w:rPr>
          <w:rFonts w:hint="eastAsia" w:ascii="仿宋" w:hAnsi="仿宋" w:eastAsia="仿宋" w:cs="仿宋"/>
          <w:color w:val="000000"/>
          <w:sz w:val="28"/>
          <w:szCs w:val="28"/>
        </w:rPr>
        <w:t>5</w:t>
      </w:r>
      <w:r>
        <w:rPr>
          <w:rFonts w:ascii="仿宋" w:hAnsi="仿宋" w:eastAsia="仿宋" w:cs="仿宋"/>
          <w:color w:val="000000"/>
          <w:sz w:val="28"/>
          <w:szCs w:val="28"/>
        </w:rPr>
        <w:t>年1</w:t>
      </w:r>
      <w:r>
        <w:rPr>
          <w:rFonts w:hint="eastAsia" w:ascii="仿宋" w:hAnsi="仿宋" w:eastAsia="仿宋" w:cs="仿宋"/>
          <w:color w:val="000000"/>
          <w:sz w:val="28"/>
          <w:szCs w:val="28"/>
        </w:rPr>
        <w:t>1</w:t>
      </w:r>
      <w:r>
        <w:rPr>
          <w:rFonts w:ascii="仿宋" w:hAnsi="仿宋" w:eastAsia="仿宋" w:cs="仿宋"/>
          <w:color w:val="000000"/>
          <w:sz w:val="28"/>
          <w:szCs w:val="28"/>
        </w:rPr>
        <w:t>月</w:t>
      </w:r>
      <w:r>
        <w:rPr>
          <w:rFonts w:hint="eastAsia" w:ascii="仿宋" w:hAnsi="仿宋" w:eastAsia="仿宋" w:cs="仿宋"/>
          <w:color w:val="000000"/>
          <w:sz w:val="28"/>
          <w:szCs w:val="28"/>
        </w:rPr>
        <w:t>3</w:t>
      </w:r>
      <w:r>
        <w:rPr>
          <w:rFonts w:ascii="仿宋" w:hAnsi="仿宋" w:eastAsia="仿宋" w:cs="仿宋"/>
          <w:color w:val="000000"/>
          <w:sz w:val="28"/>
          <w:szCs w:val="28"/>
        </w:rPr>
        <w:t>0日</w:t>
      </w:r>
      <w:r>
        <w:rPr>
          <w:rFonts w:hint="eastAsia" w:ascii="仿宋" w:hAnsi="仿宋" w:eastAsia="仿宋" w:cs="仿宋"/>
          <w:color w:val="000000"/>
          <w:sz w:val="28"/>
          <w:szCs w:val="28"/>
        </w:rPr>
        <w:t>止</w:t>
      </w:r>
      <w:r>
        <w:rPr>
          <w:rFonts w:hint="eastAsia" w:ascii="仿宋" w:hAnsi="仿宋" w:eastAsia="仿宋" w:cs="仿宋"/>
          <w:sz w:val="32"/>
          <w:szCs w:val="32"/>
        </w:rPr>
        <w:t>。</w:t>
      </w:r>
    </w:p>
    <w:p>
      <w:pPr>
        <w:numPr>
          <w:ilvl w:val="255"/>
          <w:numId w:val="0"/>
        </w:numPr>
        <w:spacing w:beforeLines="0" w:line="600" w:lineRule="exact"/>
        <w:ind w:firstLine="560" w:firstLineChars="200"/>
        <w:rPr>
          <w:rFonts w:ascii="仿宋" w:hAnsi="仿宋" w:eastAsia="仿宋" w:cs="仿宋"/>
          <w:bCs/>
          <w:sz w:val="28"/>
          <w:szCs w:val="28"/>
        </w:rPr>
      </w:pPr>
      <w:r>
        <w:rPr>
          <w:rFonts w:hint="eastAsia" w:ascii="仿宋" w:hAnsi="仿宋" w:eastAsia="仿宋" w:cs="仿宋"/>
          <w:sz w:val="28"/>
          <w:szCs w:val="28"/>
        </w:rPr>
        <w:t>（二）乙方向甲方提供服务可获得的项目</w:t>
      </w:r>
      <w:r>
        <w:rPr>
          <w:rFonts w:hint="eastAsia" w:ascii="仿宋" w:hAnsi="仿宋" w:eastAsia="仿宋" w:cs="仿宋"/>
          <w:color w:val="000000"/>
          <w:sz w:val="28"/>
          <w:szCs w:val="28"/>
        </w:rPr>
        <w:t>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bidi="ar"/>
        </w:rPr>
        <w:t>壹拾伍万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rPr>
        <w:t>150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bCs/>
          <w:color w:val="666666"/>
          <w:sz w:val="28"/>
          <w:szCs w:val="28"/>
          <w:shd w:val="clear" w:color="auto" w:fill="FFFFFF"/>
        </w:rPr>
        <w:t>。</w:t>
      </w:r>
      <w:r>
        <w:rPr>
          <w:rFonts w:hint="eastAsia" w:ascii="仿宋" w:hAnsi="仿宋" w:eastAsia="仿宋" w:cs="仿宋"/>
          <w:bCs w:val="0"/>
          <w:color w:val="auto"/>
          <w:sz w:val="28"/>
          <w:szCs w:val="28"/>
          <w:shd w:val="clear" w:color="auto" w:fill="auto"/>
        </w:rPr>
        <w:t>项目总费用为含税价且已包含甲方应付所有费用。</w:t>
      </w:r>
    </w:p>
    <w:p>
      <w:pPr>
        <w:numPr>
          <w:ilvl w:val="255"/>
          <w:numId w:val="0"/>
        </w:numPr>
        <w:spacing w:beforeLines="0" w:line="60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numPr>
          <w:ilvl w:val="0"/>
          <w:numId w:val="1"/>
        </w:num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第一期：甲、乙双方签订本合同后，甲方收到乙方开具的相对应金额发票之日起60日内，向乙方支付项目总费用的60%，即</w:t>
      </w:r>
      <w:r>
        <w:rPr>
          <w:rFonts w:hint="eastAsia" w:ascii="仿宋" w:hAnsi="仿宋" w:eastAsia="仿宋" w:cs="仿宋"/>
          <w:sz w:val="28"/>
          <w:szCs w:val="28"/>
          <w:u w:val="single"/>
        </w:rPr>
        <w:t>人民币玖</w:t>
      </w:r>
      <w:r>
        <w:rPr>
          <w:rFonts w:hint="eastAsia" w:ascii="仿宋" w:hAnsi="仿宋" w:eastAsia="仿宋" w:cs="仿宋"/>
          <w:bCs/>
          <w:sz w:val="28"/>
          <w:szCs w:val="28"/>
          <w:u w:val="single"/>
          <w:lang w:bidi="ar"/>
        </w:rPr>
        <w:t>万</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宋体" w:hAnsi="宋体" w:eastAsia="宋体" w:cs="宋体"/>
          <w:sz w:val="28"/>
          <w:szCs w:val="28"/>
          <w:u w:val="single"/>
        </w:rPr>
        <w:t>9</w:t>
      </w:r>
      <w:r>
        <w:rPr>
          <w:rFonts w:hint="eastAsia" w:ascii="仿宋" w:hAnsi="仿宋" w:eastAsia="仿宋" w:cs="仿宋"/>
          <w:bCs/>
          <w:sz w:val="28"/>
          <w:szCs w:val="28"/>
          <w:u w:val="single"/>
        </w:rPr>
        <w:t>0000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1"/>
        </w:num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第二期：甲方在扣除第一期已支付的费用后按照乙方项目工作进度向乙方支付相对应的项目费用。</w:t>
      </w:r>
    </w:p>
    <w:p>
      <w:pPr>
        <w:numPr>
          <w:ilvl w:val="0"/>
          <w:numId w:val="1"/>
        </w:num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第三期：项目经甲方验收通过之日起60日内向乙方支付剩余的项目费用。</w:t>
      </w:r>
    </w:p>
    <w:p>
      <w:pPr>
        <w:numPr>
          <w:ilvl w:val="0"/>
          <w:numId w:val="1"/>
        </w:numPr>
        <w:spacing w:beforeLines="0" w:line="600" w:lineRule="exact"/>
        <w:ind w:firstLine="562" w:firstLineChars="200"/>
        <w:rPr>
          <w:rFonts w:ascii="仿宋" w:hAnsi="仿宋" w:eastAsia="仿宋" w:cs="仿宋"/>
          <w:b/>
          <w:sz w:val="28"/>
          <w:szCs w:val="28"/>
        </w:rPr>
      </w:pPr>
      <w:r>
        <w:rPr>
          <w:rFonts w:hint="eastAsia" w:ascii="仿宋" w:hAnsi="仿宋" w:eastAsia="仿宋" w:cs="仿宋"/>
          <w:b/>
          <w:sz w:val="28"/>
          <w:szCs w:val="28"/>
        </w:rPr>
        <w:t>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beforeLines="0" w:line="600" w:lineRule="exact"/>
        <w:ind w:left="560"/>
        <w:rPr>
          <w:rFonts w:ascii="仿宋" w:hAnsi="仿宋" w:eastAsia="仿宋" w:cs="仿宋"/>
          <w:sz w:val="28"/>
          <w:szCs w:val="28"/>
        </w:rPr>
      </w:pPr>
      <w:r>
        <w:rPr>
          <w:rFonts w:hint="eastAsia" w:ascii="仿宋" w:hAnsi="仿宋" w:eastAsia="仿宋" w:cs="仿宋"/>
          <w:sz w:val="28"/>
          <w:szCs w:val="28"/>
        </w:rPr>
        <w:t>（四）乙方账户信息如下：</w:t>
      </w:r>
    </w:p>
    <w:p>
      <w:pPr>
        <w:spacing w:beforeLines="0" w:line="60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beforeLines="0" w:line="60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bidi="ar"/>
        </w:rPr>
        <w:t>开户行：</w:t>
      </w:r>
    </w:p>
    <w:p>
      <w:p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10"/>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10"/>
        <w:spacing w:beforeLines="0" w:line="60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1" w:name="_GoBack"/>
      <w:bookmarkEnd w:id="1"/>
      <w:r>
        <w:rPr>
          <w:rFonts w:hint="eastAsia" w:ascii="仿宋" w:hAnsi="仿宋" w:eastAsia="仿宋" w:cs="仿宋"/>
          <w:sz w:val="28"/>
          <w:szCs w:val="28"/>
          <w:lang w:bidi="ar"/>
        </w:rPr>
        <w:t>信用代码：11440700MB2C90725T</w:t>
      </w:r>
    </w:p>
    <w:p>
      <w:pPr>
        <w:spacing w:beforeLines="0" w:line="60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2"/>
        </w:num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u w:val="single"/>
        </w:rPr>
        <w:t>15</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2"/>
        </w:num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beforeLines="0" w:line="60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的，乙方应在甲方指定期限内采取弥补措施并再次提交给甲方验收。验收合格后由甲方和乙方共同签字确认并作为甲方向乙方支付第三期款项支付的依据；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beforeLines="0" w:line="60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3"/>
        </w:num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beforeLines="0" w:line="60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beforeLines="0" w:line="60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4"/>
        </w:numPr>
        <w:adjustRightInd w:val="0"/>
        <w:snapToGrid w:val="0"/>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无法继续履行的，乙方应在知晓该等事项之日起1个工作日内通知甲方并提供合同无法履行的客观依据，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numPr>
          <w:ilvl w:val="0"/>
          <w:numId w:val="4"/>
        </w:numPr>
        <w:adjustRightInd w:val="0"/>
        <w:snapToGrid w:val="0"/>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spacing w:beforeLines="0" w:line="60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5"/>
        </w:numPr>
        <w:spacing w:beforeLines="0" w:line="60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beforeLines="0" w:line="60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beforeLines="0" w:line="60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numPr>
          <w:ilvl w:val="0"/>
          <w:numId w:val="6"/>
        </w:numPr>
        <w:spacing w:beforeLines="0" w:line="60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2"/>
        <w:numPr>
          <w:ilvl w:val="0"/>
          <w:numId w:val="7"/>
        </w:numPr>
        <w:spacing w:beforeLines="0" w:line="600" w:lineRule="exact"/>
        <w:ind w:firstLine="560"/>
        <w:rPr>
          <w:szCs w:val="21"/>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pStyle w:val="2"/>
        <w:widowControl w:val="0"/>
        <w:numPr>
          <w:ilvl w:val="0"/>
          <w:numId w:val="7"/>
        </w:numPr>
        <w:spacing w:beforeLines="0" w:line="60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beforeLines="0" w:line="60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8"/>
        </w:numPr>
        <w:spacing w:beforeLines="0" w:line="60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beforeLines="0" w:line="60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beforeLines="0" w:line="60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beforeLines="0" w:line="60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numPr>
          <w:ilvl w:val="0"/>
          <w:numId w:val="9"/>
        </w:numPr>
        <w:spacing w:beforeLines="0" w:line="60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0"/>
        </w:numPr>
        <w:spacing w:beforeLines="0" w:line="600" w:lineRule="exact"/>
        <w:rPr>
          <w:rFonts w:ascii="仿宋" w:hAnsi="仿宋" w:eastAsia="仿宋" w:cs="仿宋"/>
          <w:sz w:val="28"/>
          <w:szCs w:val="28"/>
        </w:rPr>
      </w:pPr>
      <w:r>
        <w:rPr>
          <w:rFonts w:hint="eastAsia" w:ascii="仿宋" w:hAnsi="仿宋" w:eastAsia="仿宋" w:cs="仿宋"/>
          <w:sz w:val="28"/>
          <w:szCs w:val="28"/>
        </w:rPr>
        <w:t>甲方的违约责任：</w:t>
      </w:r>
    </w:p>
    <w:p>
      <w:p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10"/>
        </w:numPr>
        <w:spacing w:beforeLines="0" w:line="600" w:lineRule="exact"/>
        <w:rPr>
          <w:rFonts w:ascii="仿宋" w:hAnsi="仿宋" w:eastAsia="仿宋" w:cs="仿宋"/>
          <w:sz w:val="28"/>
          <w:szCs w:val="28"/>
        </w:rPr>
      </w:pPr>
      <w:r>
        <w:rPr>
          <w:rFonts w:hint="eastAsia" w:ascii="仿宋" w:hAnsi="仿宋" w:eastAsia="仿宋" w:cs="仿宋"/>
          <w:sz w:val="28"/>
          <w:szCs w:val="28"/>
        </w:rPr>
        <w:t>乙方的违约责任：</w:t>
      </w:r>
    </w:p>
    <w:p>
      <w:p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beforeLines="0" w:line="60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（3）未经甲方同意，乙方将本合同项目部分或全部技术服务工作转让第三人负责的。</w:t>
      </w:r>
    </w:p>
    <w:p>
      <w:pPr>
        <w:numPr>
          <w:ilvl w:val="0"/>
          <w:numId w:val="9"/>
        </w:numPr>
        <w:spacing w:beforeLines="0" w:line="60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1"/>
        </w:numPr>
        <w:spacing w:beforeLines="0" w:line="60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1"/>
        </w:numPr>
        <w:spacing w:beforeLines="0" w:line="60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ascii="仿宋" w:hAnsi="仿宋" w:eastAsia="仿宋" w:cs="仿宋"/>
          <w:sz w:val="28"/>
          <w:szCs w:val="28"/>
        </w:rPr>
        <w:t>。</w:t>
      </w:r>
    </w:p>
    <w:p>
      <w:pPr>
        <w:numPr>
          <w:ilvl w:val="0"/>
          <w:numId w:val="11"/>
        </w:numPr>
        <w:spacing w:beforeLines="0" w:line="600" w:lineRule="exact"/>
        <w:rPr>
          <w:rFonts w:ascii="仿宋" w:hAnsi="仿宋" w:eastAsia="仿宋" w:cs="仿宋"/>
          <w:sz w:val="28"/>
          <w:szCs w:val="28"/>
        </w:rPr>
      </w:pPr>
      <w:r>
        <w:rPr>
          <w:rFonts w:hint="eastAsia" w:ascii="仿宋" w:hAnsi="仿宋" w:eastAsia="仿宋" w:cs="仿宋"/>
          <w:sz w:val="28"/>
          <w:szCs w:val="28"/>
        </w:rPr>
        <w:t>本合同一式肆份，自甲、乙双方签字和盖章之日起生效，甲方执叁份、乙方执壹份，具有同等法律效力。</w:t>
      </w:r>
    </w:p>
    <w:p>
      <w:pPr>
        <w:pStyle w:val="12"/>
        <w:numPr>
          <w:ilvl w:val="0"/>
          <w:numId w:val="11"/>
        </w:numPr>
        <w:autoSpaceDE/>
        <w:autoSpaceDN/>
        <w:spacing w:beforeLines="0" w:line="60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2"/>
        <w:numPr>
          <w:ilvl w:val="0"/>
          <w:numId w:val="12"/>
        </w:numPr>
        <w:autoSpaceDE/>
        <w:autoSpaceDN/>
        <w:spacing w:beforeLines="0" w:line="600" w:lineRule="exact"/>
        <w:ind w:left="0" w:firstLine="608"/>
        <w:rPr>
          <w:rFonts w:ascii="仿宋" w:hAnsi="仿宋" w:eastAsia="仿宋" w:cs="仿宋"/>
          <w:szCs w:val="28"/>
        </w:rPr>
      </w:pPr>
      <w:r>
        <w:rPr>
          <w:rFonts w:hint="eastAsia" w:ascii="仿宋" w:hAnsi="仿宋" w:eastAsia="仿宋" w:cs="仿宋"/>
          <w:bCs/>
          <w:szCs w:val="28"/>
        </w:rPr>
        <w:t>江门市市场监督管理局开</w:t>
      </w:r>
      <w:r>
        <w:rPr>
          <w:rFonts w:hint="eastAsia" w:ascii="仿宋" w:hAnsi="仿宋" w:eastAsia="仿宋" w:cs="仿宋"/>
          <w:spacing w:val="0"/>
          <w:kern w:val="2"/>
          <w:szCs w:val="28"/>
        </w:rPr>
        <w:t>展</w:t>
      </w:r>
      <w:r>
        <w:rPr>
          <w:rFonts w:hint="eastAsia" w:ascii="仿宋" w:hAnsi="仿宋" w:eastAsia="仿宋" w:cs="仿宋"/>
          <w:bCs/>
          <w:szCs w:val="28"/>
        </w:rPr>
        <w:t>知识产权强企培育</w:t>
      </w:r>
      <w:r>
        <w:rPr>
          <w:rFonts w:hint="eastAsia" w:ascii="仿宋" w:hAnsi="仿宋" w:eastAsia="仿宋" w:cs="仿宋"/>
          <w:spacing w:val="0"/>
          <w:kern w:val="2"/>
          <w:szCs w:val="28"/>
        </w:rPr>
        <w:t>项</w:t>
      </w:r>
      <w:r>
        <w:rPr>
          <w:rFonts w:hint="eastAsia" w:ascii="仿宋" w:hAnsi="仿宋" w:eastAsia="仿宋" w:cs="仿宋"/>
          <w:szCs w:val="28"/>
        </w:rPr>
        <w:t>目采购公告；</w:t>
      </w:r>
    </w:p>
    <w:p>
      <w:pPr>
        <w:pStyle w:val="12"/>
        <w:numPr>
          <w:ilvl w:val="0"/>
          <w:numId w:val="12"/>
        </w:numPr>
        <w:autoSpaceDE/>
        <w:autoSpaceDN/>
        <w:spacing w:beforeLines="0" w:line="600" w:lineRule="exact"/>
        <w:ind w:left="0"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2"/>
        <w:numPr>
          <w:ilvl w:val="0"/>
          <w:numId w:val="12"/>
        </w:numPr>
        <w:autoSpaceDE/>
        <w:autoSpaceDN/>
        <w:spacing w:beforeLines="0" w:line="600" w:lineRule="exact"/>
        <w:ind w:left="0" w:firstLine="608"/>
        <w:rPr>
          <w:rFonts w:ascii="仿宋" w:hAnsi="仿宋" w:eastAsia="仿宋" w:cs="仿宋"/>
          <w:szCs w:val="28"/>
        </w:rPr>
      </w:pPr>
      <w:r>
        <w:rPr>
          <w:rFonts w:hint="eastAsia" w:ascii="仿宋" w:hAnsi="仿宋" w:eastAsia="仿宋" w:cs="仿宋"/>
          <w:szCs w:val="28"/>
        </w:rPr>
        <w:t>其他附件及补充协议等资料。</w:t>
      </w:r>
    </w:p>
    <w:p>
      <w:pPr>
        <w:spacing w:before="0" w:beforeLines="0" w:line="600" w:lineRule="exact"/>
        <w:ind w:firstLine="560" w:firstLineChars="200"/>
      </w:pPr>
      <w:r>
        <w:rPr>
          <w:rFonts w:hint="eastAsia" w:ascii="仿宋" w:hAnsi="仿宋" w:eastAsia="仿宋" w:cs="仿宋"/>
          <w:sz w:val="28"/>
          <w:szCs w:val="28"/>
        </w:rPr>
        <w:t>（以下无正文）</w:t>
      </w:r>
    </w:p>
    <w:p>
      <w:pPr>
        <w:pStyle w:val="5"/>
        <w:spacing w:beforeLines="0" w:line="600" w:lineRule="exact"/>
        <w:ind w:firstLine="608"/>
        <w:rPr>
          <w:rFonts w:ascii="仿宋" w:hAnsi="仿宋" w:eastAsia="仿宋" w:cs="仿宋"/>
          <w:szCs w:val="28"/>
        </w:rPr>
      </w:pPr>
    </w:p>
    <w:p>
      <w:pPr>
        <w:widowControl/>
        <w:spacing w:beforeLines="0" w:line="600" w:lineRule="exact"/>
        <w:jc w:val="left"/>
        <w:rPr>
          <w:rFonts w:ascii="仿宋" w:hAnsi="仿宋" w:eastAsia="仿宋" w:cs="仿宋"/>
          <w:b/>
          <w:bCs/>
          <w:sz w:val="28"/>
          <w:szCs w:val="28"/>
        </w:rPr>
      </w:pPr>
    </w:p>
    <w:p>
      <w:pPr>
        <w:spacing w:beforeLines="0" w:line="60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beforeLines="0" w:line="60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beforeLines="0" w:line="60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beforeLines="0" w:line="600" w:lineRule="exact"/>
        <w:rPr>
          <w:rFonts w:ascii="仿宋" w:hAnsi="仿宋" w:eastAsia="仿宋" w:cs="仿宋"/>
          <w:sz w:val="28"/>
          <w:szCs w:val="28"/>
        </w:rPr>
      </w:pPr>
      <w:r>
        <w:rPr>
          <w:rFonts w:ascii="仿宋" w:hAnsi="仿宋" w:eastAsia="仿宋" w:cs="仿宋"/>
          <w:sz w:val="28"/>
          <w:szCs w:val="28"/>
        </w:rPr>
        <w:t xml:space="preserve"> </w:t>
      </w:r>
    </w:p>
    <w:p>
      <w:pPr>
        <w:spacing w:beforeLines="0" w:line="60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beforeLines="0" w:line="60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before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beforeLines="0" w:line="60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4">
    <w:nsid w:val="3300DBEB"/>
    <w:multiLevelType w:val="singleLevel"/>
    <w:tmpl w:val="3300DBEB"/>
    <w:lvl w:ilvl="0" w:tentative="0">
      <w:start w:val="1"/>
      <w:numFmt w:val="decimal"/>
      <w:suff w:val="nothing"/>
      <w:lvlText w:val="%1、"/>
      <w:lvlJc w:val="left"/>
    </w:lvl>
  </w:abstractNum>
  <w:abstractNum w:abstractNumId="5">
    <w:nsid w:val="3335ACDB"/>
    <w:multiLevelType w:val="singleLevel"/>
    <w:tmpl w:val="3335ACDB"/>
    <w:lvl w:ilvl="0" w:tentative="0">
      <w:start w:val="10"/>
      <w:numFmt w:val="chineseCounting"/>
      <w:suff w:val="space"/>
      <w:lvlText w:val="第%1条"/>
      <w:lvlJc w:val="left"/>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1">
    <w:nsid w:val="7002F8F2"/>
    <w:multiLevelType w:val="singleLevel"/>
    <w:tmpl w:val="7002F8F2"/>
    <w:lvl w:ilvl="0" w:tentative="0">
      <w:start w:val="7"/>
      <w:numFmt w:val="chineseCounting"/>
      <w:suff w:val="space"/>
      <w:lvlText w:val="第%1条"/>
      <w:lvlJc w:val="left"/>
      <w:rPr>
        <w:rFonts w:hint="eastAsia"/>
      </w:rPr>
    </w:lvl>
  </w:abstractNum>
  <w:num w:numId="1">
    <w:abstractNumId w:val="4"/>
  </w:num>
  <w:num w:numId="2">
    <w:abstractNumId w:val="9"/>
  </w:num>
  <w:num w:numId="3">
    <w:abstractNumId w:val="10"/>
  </w:num>
  <w:num w:numId="4">
    <w:abstractNumId w:val="1"/>
  </w:num>
  <w:num w:numId="5">
    <w:abstractNumId w:val="7"/>
  </w:num>
  <w:num w:numId="6">
    <w:abstractNumId w:val="11"/>
  </w:num>
  <w:num w:numId="7">
    <w:abstractNumId w:val="3"/>
  </w:num>
  <w:num w:numId="8">
    <w:abstractNumId w:val="2"/>
  </w:num>
  <w:num w:numId="9">
    <w:abstractNumId w:val="5"/>
  </w:num>
  <w:num w:numId="10">
    <w:abstractNumId w:val="6"/>
    <w:lvlOverride w:ilvl="0">
      <w:startOverride w:val="1"/>
    </w:lvlOverride>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YjMzMmI3OTZhNWI5ZTcxNWQ1MmEwY2NhMzQ0MmMifQ=="/>
  </w:docVars>
  <w:rsids>
    <w:rsidRoot w:val="0080374B"/>
    <w:rsid w:val="00003BF2"/>
    <w:rsid w:val="00062D06"/>
    <w:rsid w:val="000770D9"/>
    <w:rsid w:val="000A5D54"/>
    <w:rsid w:val="000C2B5A"/>
    <w:rsid w:val="00122490"/>
    <w:rsid w:val="00164959"/>
    <w:rsid w:val="001A07F1"/>
    <w:rsid w:val="001D3FEC"/>
    <w:rsid w:val="00200E0F"/>
    <w:rsid w:val="00201EA2"/>
    <w:rsid w:val="00261A08"/>
    <w:rsid w:val="00291039"/>
    <w:rsid w:val="002A1EA9"/>
    <w:rsid w:val="002A3363"/>
    <w:rsid w:val="002C209A"/>
    <w:rsid w:val="003B6187"/>
    <w:rsid w:val="00426D70"/>
    <w:rsid w:val="0044002B"/>
    <w:rsid w:val="00465A99"/>
    <w:rsid w:val="004779C9"/>
    <w:rsid w:val="004E7D3B"/>
    <w:rsid w:val="004F4652"/>
    <w:rsid w:val="0054051D"/>
    <w:rsid w:val="0055284F"/>
    <w:rsid w:val="0059489D"/>
    <w:rsid w:val="005B513B"/>
    <w:rsid w:val="005E68CF"/>
    <w:rsid w:val="005F61C3"/>
    <w:rsid w:val="006048BE"/>
    <w:rsid w:val="006056AF"/>
    <w:rsid w:val="00607599"/>
    <w:rsid w:val="00626D78"/>
    <w:rsid w:val="006501C4"/>
    <w:rsid w:val="00650267"/>
    <w:rsid w:val="006774C7"/>
    <w:rsid w:val="00697EDC"/>
    <w:rsid w:val="006A2479"/>
    <w:rsid w:val="006B08DF"/>
    <w:rsid w:val="006D728A"/>
    <w:rsid w:val="006E44AD"/>
    <w:rsid w:val="00707FD5"/>
    <w:rsid w:val="007409C2"/>
    <w:rsid w:val="0079638C"/>
    <w:rsid w:val="0080374B"/>
    <w:rsid w:val="0082684F"/>
    <w:rsid w:val="00851044"/>
    <w:rsid w:val="008C17C3"/>
    <w:rsid w:val="008F34B7"/>
    <w:rsid w:val="00966288"/>
    <w:rsid w:val="0099689B"/>
    <w:rsid w:val="009B5336"/>
    <w:rsid w:val="00A635F9"/>
    <w:rsid w:val="00AB5B9C"/>
    <w:rsid w:val="00AC6D3E"/>
    <w:rsid w:val="00B06102"/>
    <w:rsid w:val="00B2677F"/>
    <w:rsid w:val="00B449F4"/>
    <w:rsid w:val="00BA175D"/>
    <w:rsid w:val="00BC0846"/>
    <w:rsid w:val="00BE41DE"/>
    <w:rsid w:val="00BE58C0"/>
    <w:rsid w:val="00C65C3A"/>
    <w:rsid w:val="00C92D92"/>
    <w:rsid w:val="00CA408D"/>
    <w:rsid w:val="00CF7D67"/>
    <w:rsid w:val="00D00D3C"/>
    <w:rsid w:val="00D174C5"/>
    <w:rsid w:val="00D34A03"/>
    <w:rsid w:val="00D8556E"/>
    <w:rsid w:val="00DA2112"/>
    <w:rsid w:val="00DA793C"/>
    <w:rsid w:val="00DE23D9"/>
    <w:rsid w:val="00DE3579"/>
    <w:rsid w:val="00E33C41"/>
    <w:rsid w:val="00EB5320"/>
    <w:rsid w:val="00EB63F1"/>
    <w:rsid w:val="00EC66CC"/>
    <w:rsid w:val="00F16B03"/>
    <w:rsid w:val="00F301DB"/>
    <w:rsid w:val="00F35FF8"/>
    <w:rsid w:val="00F40D5A"/>
    <w:rsid w:val="00F466D1"/>
    <w:rsid w:val="00F54901"/>
    <w:rsid w:val="00F66F7D"/>
    <w:rsid w:val="00F905DA"/>
    <w:rsid w:val="00FD4144"/>
    <w:rsid w:val="09D77ACF"/>
    <w:rsid w:val="09DE0A66"/>
    <w:rsid w:val="0AF740DB"/>
    <w:rsid w:val="0BEA35C3"/>
    <w:rsid w:val="0DDF3CA5"/>
    <w:rsid w:val="0E4954F9"/>
    <w:rsid w:val="0F7E8FBE"/>
    <w:rsid w:val="0FB72321"/>
    <w:rsid w:val="10FC4243"/>
    <w:rsid w:val="160C41FE"/>
    <w:rsid w:val="171724B5"/>
    <w:rsid w:val="1A19383D"/>
    <w:rsid w:val="1E5BF7D4"/>
    <w:rsid w:val="1FF77077"/>
    <w:rsid w:val="20075F93"/>
    <w:rsid w:val="21EC34F7"/>
    <w:rsid w:val="24EE444C"/>
    <w:rsid w:val="28F2788A"/>
    <w:rsid w:val="293A0576"/>
    <w:rsid w:val="2D016C87"/>
    <w:rsid w:val="2D427F00"/>
    <w:rsid w:val="2EFD933E"/>
    <w:rsid w:val="2FF91F6F"/>
    <w:rsid w:val="391A5AE0"/>
    <w:rsid w:val="3B19643C"/>
    <w:rsid w:val="3B44506A"/>
    <w:rsid w:val="3DBF2CC6"/>
    <w:rsid w:val="3FA76621"/>
    <w:rsid w:val="404A6C17"/>
    <w:rsid w:val="43F43818"/>
    <w:rsid w:val="452404E0"/>
    <w:rsid w:val="469672CE"/>
    <w:rsid w:val="47C7B3FB"/>
    <w:rsid w:val="4B562BFB"/>
    <w:rsid w:val="4D261BEA"/>
    <w:rsid w:val="4DD70C4E"/>
    <w:rsid w:val="4E7F21B8"/>
    <w:rsid w:val="5789094D"/>
    <w:rsid w:val="57E1EB61"/>
    <w:rsid w:val="5BB2671C"/>
    <w:rsid w:val="5BEF185C"/>
    <w:rsid w:val="5E5FBE1A"/>
    <w:rsid w:val="5FF2302C"/>
    <w:rsid w:val="67BF78D1"/>
    <w:rsid w:val="690D3BC4"/>
    <w:rsid w:val="693B3F28"/>
    <w:rsid w:val="69E702D8"/>
    <w:rsid w:val="69FFC7DB"/>
    <w:rsid w:val="6B160BA9"/>
    <w:rsid w:val="6B7E7578"/>
    <w:rsid w:val="6C7B1287"/>
    <w:rsid w:val="6EE9ABBE"/>
    <w:rsid w:val="6F5F4F93"/>
    <w:rsid w:val="718B1CD0"/>
    <w:rsid w:val="72AF67A9"/>
    <w:rsid w:val="72ED0D2D"/>
    <w:rsid w:val="72F69685"/>
    <w:rsid w:val="73ED5ED3"/>
    <w:rsid w:val="73F70480"/>
    <w:rsid w:val="76A81E4D"/>
    <w:rsid w:val="77CF9F6D"/>
    <w:rsid w:val="77F56405"/>
    <w:rsid w:val="79276609"/>
    <w:rsid w:val="79FD0554"/>
    <w:rsid w:val="7A6597BF"/>
    <w:rsid w:val="7AFF012B"/>
    <w:rsid w:val="7B5E7625"/>
    <w:rsid w:val="7B74E579"/>
    <w:rsid w:val="7B7F0CA8"/>
    <w:rsid w:val="7E7DF820"/>
    <w:rsid w:val="7EFEE140"/>
    <w:rsid w:val="7EFF896B"/>
    <w:rsid w:val="7F3F9044"/>
    <w:rsid w:val="7F6D3C6D"/>
    <w:rsid w:val="7FBFF435"/>
    <w:rsid w:val="7FE76E8F"/>
    <w:rsid w:val="7FFD0E42"/>
    <w:rsid w:val="7FFD76A9"/>
    <w:rsid w:val="937F704B"/>
    <w:rsid w:val="9BFB846D"/>
    <w:rsid w:val="9BFF8281"/>
    <w:rsid w:val="9CFB3564"/>
    <w:rsid w:val="BFB7ADE0"/>
    <w:rsid w:val="C56F3A7E"/>
    <w:rsid w:val="C7C6DFFD"/>
    <w:rsid w:val="D4EE6EB3"/>
    <w:rsid w:val="D6BD59A0"/>
    <w:rsid w:val="DB9F3292"/>
    <w:rsid w:val="DDFE42F3"/>
    <w:rsid w:val="DE4E33FE"/>
    <w:rsid w:val="ED574106"/>
    <w:rsid w:val="EF5B1F24"/>
    <w:rsid w:val="EFB6C13E"/>
    <w:rsid w:val="EFD781C2"/>
    <w:rsid w:val="F0BFFBE7"/>
    <w:rsid w:val="F12F7D7E"/>
    <w:rsid w:val="F3CF9E3A"/>
    <w:rsid w:val="F733BBB1"/>
    <w:rsid w:val="F7CF81F5"/>
    <w:rsid w:val="F7FF798C"/>
    <w:rsid w:val="F9CED2AB"/>
    <w:rsid w:val="F9DACFC2"/>
    <w:rsid w:val="F9DF1A6A"/>
    <w:rsid w:val="FAFF6E21"/>
    <w:rsid w:val="FBA68888"/>
    <w:rsid w:val="FBBA6F5A"/>
    <w:rsid w:val="FBFE435D"/>
    <w:rsid w:val="FCBDA912"/>
    <w:rsid w:val="FDE67A45"/>
    <w:rsid w:val="FDF7FB9A"/>
    <w:rsid w:val="FEC980E7"/>
    <w:rsid w:val="FF9B13A8"/>
    <w:rsid w:val="FFDFF615"/>
    <w:rsid w:val="FFFFD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widowControl/>
      <w:ind w:firstLine="420" w:firstLineChars="200"/>
    </w:pPr>
  </w:style>
  <w:style w:type="paragraph" w:styleId="3">
    <w:name w:val="annotation text"/>
    <w:basedOn w:val="1"/>
    <w:link w:val="21"/>
    <w:qFormat/>
    <w:uiPriority w:val="0"/>
    <w:pPr>
      <w:jc w:val="left"/>
    </w:pPr>
  </w:style>
  <w:style w:type="paragraph" w:styleId="4">
    <w:name w:val="Body Text Indent"/>
    <w:basedOn w:val="1"/>
    <w:next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Plain Text"/>
    <w:basedOn w:val="1"/>
    <w:qFormat/>
    <w:uiPriority w:val="0"/>
    <w:rPr>
      <w:rFonts w:ascii="宋体" w:hAnsi="Courier New"/>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0"/>
    <w:pPr>
      <w:ind w:firstLine="630"/>
    </w:pPr>
    <w:rPr>
      <w:rFonts w:ascii="黑体" w:hAnsi="黑体" w:eastAsia="黑体"/>
    </w:rPr>
  </w:style>
  <w:style w:type="paragraph" w:styleId="10">
    <w:name w:val="Normal (Web)"/>
    <w:basedOn w:val="1"/>
    <w:qFormat/>
    <w:uiPriority w:val="0"/>
    <w:rPr>
      <w:sz w:val="24"/>
    </w:rPr>
  </w:style>
  <w:style w:type="paragraph" w:styleId="11">
    <w:name w:val="annotation subject"/>
    <w:basedOn w:val="3"/>
    <w:next w:val="3"/>
    <w:link w:val="22"/>
    <w:qFormat/>
    <w:uiPriority w:val="0"/>
    <w:rPr>
      <w:b/>
      <w:bCs/>
    </w:rPr>
  </w:style>
  <w:style w:type="paragraph" w:styleId="12">
    <w:name w:val="Body Text First Indent 2"/>
    <w:basedOn w:val="4"/>
    <w:next w:val="5"/>
    <w:qFormat/>
    <w:uiPriority w:val="0"/>
    <w:pPr>
      <w:ind w:firstLine="420" w:firstLineChars="200"/>
    </w:pPr>
    <w:rPr>
      <w:rFonts w:ascii="宋体" w:hAnsi="MS Sans Serif"/>
      <w:spacing w:val="12"/>
    </w:rPr>
  </w:style>
  <w:style w:type="character" w:styleId="15">
    <w:name w:val="annotation reference"/>
    <w:basedOn w:val="14"/>
    <w:qFormat/>
    <w:uiPriority w:val="0"/>
    <w:rPr>
      <w:sz w:val="21"/>
      <w:szCs w:val="21"/>
    </w:rPr>
  </w:style>
  <w:style w:type="paragraph" w:customStyle="1" w:styleId="16">
    <w:name w:val="msolistparagraph"/>
    <w:basedOn w:val="1"/>
    <w:qFormat/>
    <w:uiPriority w:val="0"/>
    <w:pPr>
      <w:ind w:firstLine="420" w:firstLineChars="200"/>
    </w:pPr>
    <w:rPr>
      <w:rFonts w:ascii="Calibri" w:hAnsi="Calibri" w:eastAsia="宋体"/>
      <w:sz w:val="21"/>
      <w:szCs w:val="22"/>
    </w:rPr>
  </w:style>
  <w:style w:type="character" w:customStyle="1" w:styleId="17">
    <w:name w:val="批注框文本 Char"/>
    <w:basedOn w:val="14"/>
    <w:link w:val="6"/>
    <w:qFormat/>
    <w:uiPriority w:val="0"/>
    <w:rPr>
      <w:rFonts w:eastAsia="仿宋_GB2312"/>
      <w:kern w:val="2"/>
      <w:sz w:val="18"/>
      <w:szCs w:val="18"/>
    </w:rPr>
  </w:style>
  <w:style w:type="paragraph" w:customStyle="1" w:styleId="18">
    <w:name w:val="普通(网站)1"/>
    <w:basedOn w:val="1"/>
    <w:qFormat/>
    <w:uiPriority w:val="0"/>
    <w:pPr>
      <w:jc w:val="left"/>
    </w:pPr>
    <w:rPr>
      <w:rFonts w:ascii="Calibri" w:hAnsi="Calibri" w:eastAsia="宋体" w:cs="黑体"/>
      <w:kern w:val="0"/>
      <w:sz w:val="24"/>
      <w:szCs w:val="24"/>
    </w:rPr>
  </w:style>
  <w:style w:type="paragraph" w:customStyle="1" w:styleId="19">
    <w:name w:val="普通(网站)2"/>
    <w:basedOn w:val="1"/>
    <w:qFormat/>
    <w:uiPriority w:val="0"/>
    <w:pPr>
      <w:jc w:val="left"/>
    </w:pPr>
    <w:rPr>
      <w:rFonts w:ascii="Calibri" w:hAnsi="Calibri" w:cs="黑体"/>
      <w:kern w:val="0"/>
      <w:sz w:val="24"/>
      <w:szCs w:val="24"/>
    </w:rPr>
  </w:style>
  <w:style w:type="paragraph" w:customStyle="1" w:styleId="20">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21">
    <w:name w:val="批注文字 Char"/>
    <w:basedOn w:val="14"/>
    <w:link w:val="3"/>
    <w:qFormat/>
    <w:uiPriority w:val="0"/>
    <w:rPr>
      <w:rFonts w:eastAsia="仿宋_GB2312"/>
      <w:kern w:val="2"/>
      <w:sz w:val="30"/>
    </w:rPr>
  </w:style>
  <w:style w:type="character" w:customStyle="1" w:styleId="22">
    <w:name w:val="批注主题 Char"/>
    <w:basedOn w:val="21"/>
    <w:link w:val="11"/>
    <w:qFormat/>
    <w:uiPriority w:val="0"/>
    <w:rPr>
      <w:rFonts w:eastAsia="仿宋_GB2312"/>
      <w:b/>
      <w:bCs/>
      <w:kern w:val="2"/>
      <w:sz w:val="30"/>
    </w:rPr>
  </w:style>
  <w:style w:type="paragraph" w:styleId="23">
    <w:name w:val="List Paragraph"/>
    <w:basedOn w:val="1"/>
    <w:unhideWhenUsed/>
    <w:qFormat/>
    <w:uiPriority w:val="99"/>
    <w:pPr>
      <w:ind w:firstLine="420" w:firstLineChars="200"/>
    </w:pPr>
  </w:style>
  <w:style w:type="paragraph" w:customStyle="1" w:styleId="24">
    <w:name w:val="普通(网站)3"/>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4949</Words>
  <Characters>910</Characters>
  <Lines>7</Lines>
  <Paragraphs>11</Paragraphs>
  <TotalTime>16</TotalTime>
  <ScaleCrop>false</ScaleCrop>
  <LinksUpToDate>false</LinksUpToDate>
  <CharactersWithSpaces>5848</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2024-09-30T15:20:00Z</dcterms:created>
  <dc:creator>Administrator</dc:creator>
  <cp:lastModifiedBy>greatwall</cp:lastModifiedBy>
  <cp:lastPrinted>2024-08-28T02:38:00Z</cp:lastPrinted>
  <dcterms:modified xsi:type="dcterms:W3CDTF">2026-03-30T15:58:38Z</dcterms:modified>
  <dc:title>2020年江门市工业产品生产许可证证后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1AADFF484C954D29EB36496861F9A264</vt:lpwstr>
  </property>
</Properties>
</file>