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cs="仿宋_GB2312"/>
          <w:szCs w:val="30"/>
        </w:rPr>
      </w:pPr>
      <w:r>
        <w:rPr>
          <w:rFonts w:hint="eastAsia" w:ascii="仿宋_GB2312" w:hAnsi="仿宋_GB2312" w:cs="仿宋_GB2312"/>
          <w:szCs w:val="30"/>
        </w:rPr>
        <w:t>附件3</w:t>
      </w:r>
    </w:p>
    <w:p>
      <w:pPr>
        <w:spacing w:line="480" w:lineRule="exact"/>
        <w:jc w:val="center"/>
        <w:rPr>
          <w:rFonts w:ascii="宋体" w:hAnsi="宋体" w:eastAsia="宋体" w:cs="宋体"/>
          <w:b/>
          <w:bCs/>
          <w:sz w:val="44"/>
          <w:szCs w:val="44"/>
        </w:rPr>
      </w:pPr>
    </w:p>
    <w:p>
      <w:pPr>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2025年食品安全（餐饮环节高风险单位）</w:t>
      </w:r>
    </w:p>
    <w:p>
      <w:pPr>
        <w:spacing w:line="48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sz w:val="44"/>
          <w:szCs w:val="44"/>
        </w:rPr>
        <w:t>风险研判项目</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60" w:lineRule="exact"/>
        <w:rPr>
          <w:rFonts w:ascii="仿宋_GB2312" w:hAnsi="仿宋_GB2312" w:cs="仿宋_GB2312"/>
          <w:b/>
          <w:color w:val="000000"/>
          <w:sz w:val="28"/>
          <w:szCs w:val="28"/>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hint="eastAsia" w:ascii="仿宋_GB2312" w:hAnsi="仿宋_GB2312" w:cs="仿宋_GB2312"/>
          <w:bCs/>
          <w:sz w:val="28"/>
          <w:szCs w:val="28"/>
        </w:rPr>
        <w:t>江门市市场监督管理局</w:t>
      </w:r>
    </w:p>
    <w:p>
      <w:pPr>
        <w:spacing w:line="460" w:lineRule="exact"/>
        <w:rPr>
          <w:rFonts w:ascii="仿宋_GB2312" w:hAnsi="仿宋_GB2312" w:cs="仿宋_GB2312"/>
          <w:color w:val="000000"/>
          <w:sz w:val="28"/>
          <w:szCs w:val="28"/>
          <w:u w:val="single"/>
        </w:rPr>
      </w:pPr>
      <w:r>
        <w:rPr>
          <w:rFonts w:hint="eastAsia" w:ascii="仿宋_GB2312" w:hAnsi="仿宋_GB2312" w:cs="仿宋_GB2312"/>
          <w:color w:val="000000"/>
          <w:sz w:val="28"/>
          <w:szCs w:val="28"/>
        </w:rPr>
        <w:t>地址：江门市东华二路7号</w:t>
      </w:r>
    </w:p>
    <w:p>
      <w:pPr>
        <w:spacing w:line="460" w:lineRule="exact"/>
        <w:rPr>
          <w:rFonts w:ascii="仿宋_GB2312" w:hAnsi="仿宋_GB2312" w:cs="仿宋_GB2312"/>
          <w:sz w:val="28"/>
          <w:szCs w:val="28"/>
        </w:rPr>
      </w:pPr>
      <w:r>
        <w:rPr>
          <w:rFonts w:hint="eastAsia" w:ascii="仿宋_GB2312" w:hAnsi="仿宋_GB2312" w:cs="仿宋_GB2312"/>
          <w:sz w:val="28"/>
          <w:szCs w:val="28"/>
        </w:rPr>
        <w:t>联系人：</w:t>
      </w: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电话： </w:t>
      </w:r>
    </w:p>
    <w:p>
      <w:pPr>
        <w:spacing w:line="460" w:lineRule="exact"/>
        <w:rPr>
          <w:rFonts w:ascii="仿宋_GB2312" w:hAnsi="仿宋_GB2312" w:cs="仿宋_GB2312"/>
          <w:b/>
          <w:sz w:val="28"/>
          <w:szCs w:val="28"/>
          <w:u w:val="single"/>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60" w:lineRule="exact"/>
        <w:rPr>
          <w:rFonts w:ascii="仿宋_GB2312" w:hAnsi="仿宋_GB2312" w:cs="仿宋_GB2312"/>
          <w:sz w:val="28"/>
          <w:szCs w:val="28"/>
        </w:rPr>
      </w:pPr>
      <w:r>
        <w:rPr>
          <w:rFonts w:hint="eastAsia" w:ascii="仿宋_GB2312" w:hAnsi="仿宋_GB2312" w:cs="仿宋_GB2312"/>
          <w:sz w:val="28"/>
          <w:szCs w:val="28"/>
        </w:rPr>
        <w:t>地址：</w:t>
      </w:r>
    </w:p>
    <w:p>
      <w:pPr>
        <w:spacing w:line="460" w:lineRule="exact"/>
        <w:rPr>
          <w:rFonts w:ascii="仿宋_GB2312" w:hAnsi="仿宋_GB2312" w:cs="仿宋_GB2312"/>
          <w:sz w:val="28"/>
          <w:szCs w:val="28"/>
        </w:rPr>
      </w:pPr>
      <w:r>
        <w:rPr>
          <w:rFonts w:hint="eastAsia" w:ascii="仿宋_GB2312" w:hAnsi="仿宋_GB2312" w:cs="仿宋_GB2312"/>
          <w:sz w:val="28"/>
          <w:szCs w:val="28"/>
        </w:rPr>
        <w:t>联系人：</w:t>
      </w:r>
    </w:p>
    <w:p>
      <w:pPr>
        <w:spacing w:line="460" w:lineRule="exact"/>
        <w:rPr>
          <w:rFonts w:ascii="仿宋_GB2312" w:hAnsi="仿宋_GB2312" w:cs="仿宋_GB2312"/>
          <w:sz w:val="28"/>
          <w:szCs w:val="28"/>
        </w:rPr>
      </w:pPr>
      <w:r>
        <w:rPr>
          <w:rFonts w:hint="eastAsia" w:ascii="仿宋_GB2312" w:hAnsi="仿宋_GB2312" w:cs="仿宋_GB2312"/>
          <w:sz w:val="28"/>
          <w:szCs w:val="28"/>
        </w:rPr>
        <w:t>电话：</w:t>
      </w:r>
    </w:p>
    <w:p>
      <w:pPr>
        <w:pStyle w:val="2"/>
        <w:ind w:firstLine="0" w:firstLineChars="0"/>
        <w:rPr>
          <w:rFonts w:ascii="仿宋_GB2312" w:hAnsi="仿宋_GB2312" w:cs="仿宋_GB2312"/>
          <w:sz w:val="28"/>
          <w:szCs w:val="28"/>
        </w:rPr>
      </w:pPr>
    </w:p>
    <w:p>
      <w:pPr>
        <w:widowControl/>
        <w:spacing w:line="480" w:lineRule="exact"/>
        <w:ind w:firstLine="618" w:firstLineChars="221"/>
        <w:rPr>
          <w:rFonts w:ascii="仿宋_GB2312" w:hAnsi="仿宋_GB2312" w:cs="仿宋_GB2312"/>
          <w:b/>
          <w:bCs/>
          <w:sz w:val="28"/>
          <w:szCs w:val="28"/>
        </w:rPr>
      </w:pPr>
      <w:r>
        <w:rPr>
          <w:rFonts w:hint="eastAsia" w:ascii="仿宋_GB2312" w:hAnsi="仿宋_GB2312" w:cs="仿宋_GB2312"/>
          <w:sz w:val="28"/>
          <w:szCs w:val="28"/>
        </w:rPr>
        <w:t>甲、乙双方根据“2025年食品安全（餐饮环节高风险单位）风险研判项目”（项目编号：</w:t>
      </w:r>
      <w:r>
        <w:rPr>
          <w:rFonts w:hint="eastAsia" w:ascii="仿宋_GB2312" w:hAnsi="仿宋_GB2312" w:cs="仿宋_GB2312"/>
          <w:sz w:val="28"/>
          <w:szCs w:val="28"/>
          <w:lang w:val="en-US" w:eastAsia="zh-CN"/>
        </w:rPr>
        <w:t>2025031</w:t>
      </w:r>
      <w:r>
        <w:rPr>
          <w:rFonts w:hint="eastAsia" w:ascii="仿宋_GB2312" w:hAnsi="仿宋_GB2312" w:cs="仿宋_GB2312"/>
          <w:sz w:val="28"/>
          <w:szCs w:val="28"/>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_GB2312" w:hAnsi="仿宋_GB2312" w:cs="仿宋_GB2312"/>
          <w:color w:val="000000"/>
          <w:sz w:val="28"/>
          <w:szCs w:val="28"/>
        </w:rPr>
        <w:t xml:space="preserve">： </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 xml:space="preserve">第一条  项目内容 </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甲方委托乙方就“2025年食品安全（餐饮环节高风险单位）风险研判项目”提供技术服务工作，乙方应</w:t>
      </w:r>
      <w:r>
        <w:rPr>
          <w:rFonts w:hint="eastAsia" w:ascii="仿宋_GB2312" w:hAnsi="仿宋_GB2312" w:cs="仿宋_GB2312"/>
          <w:color w:val="000000"/>
          <w:sz w:val="28"/>
          <w:szCs w:val="28"/>
        </w:rPr>
        <w:t>采取“专家</w:t>
      </w:r>
      <w:r>
        <w:rPr>
          <w:rFonts w:ascii="仿宋_GB2312" w:hAnsi="仿宋_GB2312" w:cs="仿宋_GB2312"/>
          <w:color w:val="000000"/>
          <w:sz w:val="28"/>
          <w:szCs w:val="28"/>
        </w:rPr>
        <w:t>+执法人员”的模式，</w:t>
      </w:r>
      <w:r>
        <w:rPr>
          <w:rFonts w:hint="eastAsia" w:ascii="仿宋_GB2312" w:hAnsi="仿宋_GB2312" w:cs="仿宋_GB2312"/>
          <w:color w:val="000000"/>
          <w:sz w:val="28"/>
          <w:szCs w:val="28"/>
        </w:rPr>
        <w:t>对照《餐饮服务通用卫生规范 GB31654-2021》《第十五届全国运动会和第十二届残疾人运动会暨第九届特殊奥林匹克运动会广东赛区接待酒店食品安全评估指引》等要求，在全市学校食堂、养老机构食堂、中央厨房、集体用餐配送单位、大型餐馆、十五运会和残特奥会接待酒店等业态中抽取37家高风险单位开展风险研判，要求每一个检查点出具</w:t>
      </w:r>
      <w:r>
        <w:rPr>
          <w:rFonts w:ascii="仿宋_GB2312" w:hAnsi="仿宋_GB2312" w:cs="仿宋_GB2312"/>
          <w:color w:val="000000"/>
          <w:sz w:val="28"/>
          <w:szCs w:val="28"/>
        </w:rPr>
        <w:t>1份风险问题清单，每个餐饮业态出具1份分析</w:t>
      </w:r>
      <w:r>
        <w:rPr>
          <w:rFonts w:hint="eastAsia" w:ascii="仿宋_GB2312" w:hAnsi="仿宋_GB2312" w:cs="仿宋_GB2312"/>
          <w:color w:val="000000"/>
          <w:sz w:val="28"/>
          <w:szCs w:val="28"/>
        </w:rPr>
        <w:t>研判报告</w:t>
      </w:r>
      <w:r>
        <w:rPr>
          <w:rFonts w:hint="eastAsia" w:ascii="仿宋_GB2312" w:hAnsi="仿宋_GB2312" w:cs="仿宋_GB2312"/>
          <w:sz w:val="28"/>
          <w:szCs w:val="28"/>
        </w:rPr>
        <w:t>。</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第二条  合同期限、项目费用及支付方式</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color w:val="000000"/>
          <w:sz w:val="28"/>
          <w:szCs w:val="28"/>
        </w:rPr>
        <w:t>乙方向甲方提供服务的合同期限为1个月，自本合同签署生效之日起算。</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sz w:val="28"/>
          <w:szCs w:val="28"/>
        </w:rPr>
        <w:t>乙方向甲方提供服务可获得的项目技术服</w:t>
      </w:r>
      <w:r>
        <w:rPr>
          <w:rFonts w:hint="eastAsia" w:ascii="仿宋_GB2312" w:hAnsi="仿宋_GB2312" w:cs="仿宋_GB2312"/>
          <w:color w:val="000000"/>
          <w:sz w:val="28"/>
          <w:szCs w:val="28"/>
        </w:rPr>
        <w:t>务总费用（即项目总</w:t>
      </w:r>
      <w:r>
        <w:rPr>
          <w:rFonts w:hint="eastAsia" w:ascii="仿宋_GB2312" w:hAnsi="仿宋_GB2312" w:cs="仿宋_GB2312"/>
          <w:sz w:val="28"/>
          <w:szCs w:val="28"/>
        </w:rPr>
        <w:t>费用）为人民币陆万零肆佰元整（¥60400元）</w:t>
      </w:r>
      <w:r>
        <w:rPr>
          <w:rFonts w:hint="eastAsia" w:ascii="仿宋_GB2312" w:hAnsi="仿宋_GB2312" w:cs="仿宋_GB2312"/>
          <w:bCs/>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付款时间、方式。</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双方签署合同后，甲方分两期支付相应的款项给乙方：</w:t>
      </w:r>
    </w:p>
    <w:p>
      <w:pPr>
        <w:numPr>
          <w:ilvl w:val="0"/>
          <w:numId w:val="2"/>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第一期：甲、乙双方签订本合同后，甲方收到乙方开具的相对应金额发票之日起60日内，向乙方支付项目总费用的50%，即人民币叁万零贰佰元整（</w:t>
      </w:r>
      <w:r>
        <w:rPr>
          <w:rFonts w:hint="eastAsia" w:ascii="仿宋_GB2312" w:hAnsi="仿宋_GB2312" w:cs="仿宋_GB2312"/>
          <w:bCs/>
          <w:sz w:val="28"/>
          <w:szCs w:val="28"/>
        </w:rPr>
        <w:t>￥30200.00元</w:t>
      </w:r>
      <w:r>
        <w:rPr>
          <w:rFonts w:hint="eastAsia" w:ascii="仿宋_GB2312" w:hAnsi="仿宋_GB2312" w:cs="仿宋_GB2312"/>
          <w:sz w:val="28"/>
          <w:szCs w:val="28"/>
        </w:rPr>
        <w:t>）；</w:t>
      </w:r>
    </w:p>
    <w:p>
      <w:pPr>
        <w:numPr>
          <w:ilvl w:val="0"/>
          <w:numId w:val="2"/>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第二期：待项目经甲方验收合格后，甲方再次凭收到乙方开具等额有效的发票之日起60日内支付剩余项目费用给乙方，即人民币叁万零贰佰元整（</w:t>
      </w:r>
      <w:r>
        <w:rPr>
          <w:rFonts w:hint="eastAsia" w:ascii="仿宋_GB2312" w:hAnsi="仿宋_GB2312" w:cs="仿宋_GB2312"/>
          <w:bCs/>
          <w:sz w:val="28"/>
          <w:szCs w:val="28"/>
        </w:rPr>
        <w:t>￥30200.00元</w:t>
      </w:r>
      <w:r>
        <w:rPr>
          <w:rFonts w:hint="eastAsia" w:ascii="仿宋_GB2312" w:hAnsi="仿宋_GB2312" w:cs="仿宋_GB2312"/>
          <w:sz w:val="28"/>
          <w:szCs w:val="28"/>
        </w:rPr>
        <w:t>）。</w:t>
      </w:r>
    </w:p>
    <w:p>
      <w:pPr>
        <w:numPr>
          <w:ilvl w:val="0"/>
          <w:numId w:val="2"/>
        </w:numPr>
        <w:spacing w:line="480" w:lineRule="exact"/>
        <w:ind w:firstLine="562" w:firstLineChars="200"/>
        <w:rPr>
          <w:rFonts w:ascii="仿宋_GB2312" w:hAnsi="仿宋_GB2312" w:cs="仿宋_GB2312"/>
          <w:b/>
          <w:sz w:val="28"/>
          <w:szCs w:val="28"/>
        </w:rPr>
      </w:pPr>
      <w:r>
        <w:rPr>
          <w:rFonts w:hint="eastAsia" w:ascii="仿宋_GB2312" w:hAnsi="仿宋_GB2312" w:cs="仿宋_GB2312"/>
          <w:b/>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_GB2312" w:hAnsi="仿宋_GB2312" w:cs="仿宋_GB2312"/>
          <w:b/>
          <w:sz w:val="28"/>
          <w:szCs w:val="28"/>
        </w:rPr>
        <w:t>。</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p>
    <w:p>
      <w:pPr>
        <w:spacing w:line="48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p>
    <w:p>
      <w:pPr>
        <w:pStyle w:val="8"/>
        <w:numPr>
          <w:ilvl w:val="0"/>
          <w:numId w:val="1"/>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ind w:firstLine="560" w:firstLineChars="200"/>
        <w:rPr>
          <w:rFonts w:ascii="仿宋_GB2312" w:hAnsi="仿宋_GB2312" w:cs="仿宋_GB2312"/>
          <w:sz w:val="28"/>
          <w:szCs w:val="28"/>
        </w:rPr>
      </w:pPr>
      <w:r>
        <w:rPr>
          <w:rFonts w:hint="eastAsia" w:ascii="仿宋_GB2312" w:hAnsi="仿宋_GB2312" w:cs="仿宋_GB2312"/>
          <w:sz w:val="28"/>
          <w:szCs w:val="28"/>
          <w:lang w:bidi="ar"/>
        </w:rPr>
        <w:t>统一</w:t>
      </w:r>
      <w:r>
        <w:rPr>
          <w:rFonts w:hint="eastAsia" w:ascii="仿宋_GB2312" w:hAnsi="仿宋_GB2312" w:cs="仿宋_GB2312"/>
          <w:sz w:val="28"/>
          <w:szCs w:val="28"/>
          <w:lang w:eastAsia="zh-CN" w:bidi="ar"/>
        </w:rPr>
        <w:t>社会</w:t>
      </w:r>
      <w:bookmarkStart w:id="0" w:name="_GoBack"/>
      <w:bookmarkEnd w:id="0"/>
      <w:r>
        <w:rPr>
          <w:rFonts w:hint="eastAsia" w:ascii="仿宋_GB2312" w:hAnsi="仿宋_GB2312" w:cs="仿宋_GB2312"/>
          <w:sz w:val="28"/>
          <w:szCs w:val="28"/>
          <w:lang w:bidi="ar"/>
        </w:rPr>
        <w:t>信用代码：11440700MB2C90725T</w:t>
      </w:r>
    </w:p>
    <w:p>
      <w:pPr>
        <w:spacing w:line="48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  验收方式</w:t>
      </w:r>
      <w:r>
        <w:rPr>
          <w:rFonts w:hint="eastAsia" w:ascii="仿宋_GB2312" w:hAnsi="仿宋_GB2312" w:cs="仿宋_GB2312"/>
          <w:color w:val="666666"/>
          <w:sz w:val="28"/>
          <w:szCs w:val="28"/>
          <w:shd w:val="clear" w:color="auto" w:fill="FFFFFF"/>
        </w:rPr>
        <w:t xml:space="preserve"> </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验收时间：本项目结束之日起10个工作日内，乙方应按采购公告、实施方案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即不能要求甲方予以承担）。</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第四条  甲方的权利和义务</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4"/>
        </w:numPr>
        <w:spacing w:line="480" w:lineRule="exact"/>
        <w:ind w:firstLine="560" w:firstLineChars="200"/>
        <w:rPr>
          <w:rFonts w:ascii="仿宋_GB2312" w:hAnsi="仿宋_GB2312" w:cs="仿宋_GB2312"/>
          <w:color w:val="000000"/>
          <w:sz w:val="28"/>
          <w:szCs w:val="28"/>
        </w:rPr>
      </w:pPr>
      <w:r>
        <w:rPr>
          <w:rFonts w:hint="eastAsia" w:ascii="仿宋_GB2312" w:hAnsi="仿宋_GB2312" w:cs="仿宋_GB2312"/>
          <w:sz w:val="28"/>
          <w:szCs w:val="28"/>
        </w:rPr>
        <w:t>根据甲、乙双方确定的项目计划，甲方有权督促乙方的实施情况，了解</w:t>
      </w:r>
      <w:r>
        <w:rPr>
          <w:rFonts w:hint="eastAsia" w:ascii="仿宋_GB2312" w:hAnsi="仿宋_GB2312" w:cs="仿宋_GB2312"/>
          <w:color w:val="000000"/>
          <w:sz w:val="28"/>
          <w:szCs w:val="28"/>
        </w:rPr>
        <w:t>工作进度及开展情况。</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甲方应及时进行验收以及按约定配合乙方的其他工作。</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第五条  乙方的权利和义务</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_GB2312" w:hAnsi="仿宋_GB2312" w:cs="仿宋_GB2312"/>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项目在本合同履行过程中，非因乙方原因有可能致使合同全部不能履行或者部分不能履行的，乙方应在知晓该等事项之日起1个工作日内通知甲方，同时采取措施减少损失。</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第六条  保密条款</w:t>
      </w:r>
    </w:p>
    <w:p>
      <w:pPr>
        <w:spacing w:line="480" w:lineRule="exact"/>
        <w:ind w:firstLine="560" w:firstLineChars="200"/>
        <w:outlineLvl w:val="0"/>
        <w:rPr>
          <w:rFonts w:ascii="仿宋_GB2312" w:hAnsi="仿宋_GB2312" w:cs="仿宋_GB2312"/>
          <w:sz w:val="28"/>
          <w:szCs w:val="28"/>
        </w:rPr>
      </w:pPr>
      <w:r>
        <w:rPr>
          <w:rFonts w:hint="eastAsia" w:ascii="仿宋_GB2312" w:hAnsi="仿宋_GB2312" w:cs="仿宋_GB2312"/>
          <w:color w:val="000000"/>
          <w:sz w:val="28"/>
          <w:szCs w:val="28"/>
        </w:rPr>
        <w:t>乙方承诺严格遵守国家关于保密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28"/>
          <w:szCs w:val="28"/>
          <w:lang w:bidi="ar"/>
        </w:rPr>
        <w:t>包括但不限于律师费、诉讼费、赔偿款、交通费、调查费等</w:t>
      </w:r>
      <w:r>
        <w:rPr>
          <w:rFonts w:hint="eastAsia" w:ascii="仿宋_GB2312" w:hAnsi="仿宋_GB2312" w:cs="仿宋_GB2312"/>
          <w:sz w:val="28"/>
          <w:szCs w:val="28"/>
        </w:rPr>
        <w:t>。</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第七条  不可抗力</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第八条  违约责任</w:t>
      </w:r>
    </w:p>
    <w:p>
      <w:pPr>
        <w:numPr>
          <w:ilvl w:val="0"/>
          <w:numId w:val="7"/>
        </w:numPr>
        <w:spacing w:line="480" w:lineRule="exact"/>
        <w:rPr>
          <w:rFonts w:ascii="仿宋_GB2312" w:hAnsi="仿宋_GB2312" w:cs="仿宋_GB2312"/>
          <w:sz w:val="28"/>
          <w:szCs w:val="28"/>
        </w:rPr>
      </w:pPr>
      <w:r>
        <w:rPr>
          <w:rFonts w:hint="eastAsia" w:ascii="仿宋_GB2312" w:hAnsi="仿宋_GB2312" w:cs="仿宋_GB2312"/>
          <w:sz w:val="28"/>
          <w:szCs w:val="28"/>
        </w:rPr>
        <w:t>甲方的违约责任：</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_GB2312" w:hAnsi="仿宋_GB2312" w:cs="仿宋_GB2312"/>
          <w:sz w:val="28"/>
          <w:szCs w:val="28"/>
        </w:rPr>
      </w:pPr>
      <w:r>
        <w:rPr>
          <w:rFonts w:hint="eastAsia" w:ascii="仿宋_GB2312" w:hAnsi="仿宋_GB2312" w:cs="仿宋_GB2312"/>
          <w:sz w:val="28"/>
          <w:szCs w:val="28"/>
        </w:rPr>
        <w:t>乙方的违约责任：</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（1）乙方逾期提交项目成果性文件或者逾期完成项目工作超过15日以上的；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（3）未经甲方同意，乙方将本合同项目部分或全部技术服务工作转让第三人负责的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（4）乙方违反保密约定的。</w:t>
      </w:r>
    </w:p>
    <w:p>
      <w:pPr>
        <w:spacing w:line="480" w:lineRule="exact"/>
        <w:rPr>
          <w:rFonts w:ascii="仿宋_GB2312" w:hAnsi="仿宋_GB2312" w:cs="仿宋_GB2312"/>
          <w:sz w:val="28"/>
          <w:szCs w:val="28"/>
        </w:rPr>
      </w:pPr>
      <w:r>
        <w:rPr>
          <w:rFonts w:hint="eastAsia" w:ascii="仿宋_GB2312" w:hAnsi="仿宋_GB2312" w:cs="仿宋_GB2312"/>
          <w:b/>
          <w:bCs/>
          <w:sz w:val="28"/>
          <w:szCs w:val="28"/>
        </w:rPr>
        <w:t>第九条  双方确定，出现下列情形，致使本合同的履行成为不必要或不能的，可以解除本合同：</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发生不可抗力。</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第十条  争议的解决办法</w:t>
      </w:r>
    </w:p>
    <w:p>
      <w:pPr>
        <w:numPr>
          <w:ilvl w:val="255"/>
          <w:numId w:val="0"/>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 其他</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9"/>
        </w:numPr>
        <w:spacing w:line="480" w:lineRule="exact"/>
        <w:rPr>
          <w:rFonts w:ascii="仿宋_GB2312" w:hAnsi="仿宋_GB2312" w:cs="仿宋_GB2312"/>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本合同一式肆份，经甲、乙双方授权代表签字和盖章后生效。甲方执叁份、乙方执壹份，具有同等法律效力。</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1.2025年食品安全（餐饮环节高风险单位）风险研判项目采购公告；</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2.江门市市场监督管理局相关项目采购结果公告；</w:t>
      </w:r>
    </w:p>
    <w:p>
      <w:pPr>
        <w:spacing w:before="156" w:beforeLines="50"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pStyle w:val="9"/>
        <w:ind w:firstLine="608"/>
        <w:rPr>
          <w:rFonts w:ascii="仿宋_GB2312" w:hAnsi="仿宋_GB2312" w:cs="仿宋_GB2312"/>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ind w:firstLine="560"/>
        <w:rPr>
          <w:rFonts w:ascii="仿宋_GB2312" w:hAnsi="仿宋_GB2312" w:cs="仿宋_GB2312"/>
          <w:b/>
          <w:bCs/>
          <w:sz w:val="28"/>
          <w:szCs w:val="28"/>
        </w:rPr>
      </w:pP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ind w:firstLine="1960" w:firstLineChars="70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66675"/>
    <w:rsid w:val="000F477F"/>
    <w:rsid w:val="00201EA2"/>
    <w:rsid w:val="00223CF2"/>
    <w:rsid w:val="00524D7D"/>
    <w:rsid w:val="005F7AF9"/>
    <w:rsid w:val="0066273D"/>
    <w:rsid w:val="00922584"/>
    <w:rsid w:val="00966675"/>
    <w:rsid w:val="00A718F1"/>
    <w:rsid w:val="00AE5953"/>
    <w:rsid w:val="00B36494"/>
    <w:rsid w:val="00B640D2"/>
    <w:rsid w:val="00BB652A"/>
    <w:rsid w:val="00C4794B"/>
    <w:rsid w:val="00CC43A2"/>
    <w:rsid w:val="00D14332"/>
    <w:rsid w:val="00EF0125"/>
    <w:rsid w:val="00F823E6"/>
    <w:rsid w:val="00FA2B3E"/>
    <w:rsid w:val="00FE17AA"/>
    <w:rsid w:val="00FE55A7"/>
    <w:rsid w:val="09D77ACF"/>
    <w:rsid w:val="09DE0A66"/>
    <w:rsid w:val="0BEA35C3"/>
    <w:rsid w:val="0DDF3CA5"/>
    <w:rsid w:val="0EF91B8D"/>
    <w:rsid w:val="0F7735EA"/>
    <w:rsid w:val="0FB72321"/>
    <w:rsid w:val="10FC4243"/>
    <w:rsid w:val="13A87DCB"/>
    <w:rsid w:val="171724B5"/>
    <w:rsid w:val="1A19383D"/>
    <w:rsid w:val="20075F93"/>
    <w:rsid w:val="24EE444C"/>
    <w:rsid w:val="27B92537"/>
    <w:rsid w:val="28F2788A"/>
    <w:rsid w:val="293A0576"/>
    <w:rsid w:val="2D016C87"/>
    <w:rsid w:val="2F6F3EA3"/>
    <w:rsid w:val="391A5AE0"/>
    <w:rsid w:val="39FF3B49"/>
    <w:rsid w:val="3B19643C"/>
    <w:rsid w:val="3FA76621"/>
    <w:rsid w:val="3FE7F12F"/>
    <w:rsid w:val="404A6C17"/>
    <w:rsid w:val="43F43818"/>
    <w:rsid w:val="47C7B3FB"/>
    <w:rsid w:val="4B562BFB"/>
    <w:rsid w:val="4D193936"/>
    <w:rsid w:val="4D261BEA"/>
    <w:rsid w:val="4DD70C4E"/>
    <w:rsid w:val="4E6F46F1"/>
    <w:rsid w:val="50FFD8B8"/>
    <w:rsid w:val="52C673B2"/>
    <w:rsid w:val="5789094D"/>
    <w:rsid w:val="59BFC624"/>
    <w:rsid w:val="5BB2671C"/>
    <w:rsid w:val="5FFE3361"/>
    <w:rsid w:val="677EE430"/>
    <w:rsid w:val="690D3BC4"/>
    <w:rsid w:val="693B3F28"/>
    <w:rsid w:val="6B3E9A49"/>
    <w:rsid w:val="6B7E7578"/>
    <w:rsid w:val="6C7B1287"/>
    <w:rsid w:val="6DEF0315"/>
    <w:rsid w:val="6DEF2500"/>
    <w:rsid w:val="6F5F4F93"/>
    <w:rsid w:val="6FBF93AA"/>
    <w:rsid w:val="71FE92F0"/>
    <w:rsid w:val="72AF67A9"/>
    <w:rsid w:val="75F771B9"/>
    <w:rsid w:val="75FF99F2"/>
    <w:rsid w:val="76A81E4D"/>
    <w:rsid w:val="776FD147"/>
    <w:rsid w:val="77FDBF25"/>
    <w:rsid w:val="79276609"/>
    <w:rsid w:val="7B7BFB08"/>
    <w:rsid w:val="7BEFC3C2"/>
    <w:rsid w:val="7CEE1235"/>
    <w:rsid w:val="7DFF772D"/>
    <w:rsid w:val="7EFEE140"/>
    <w:rsid w:val="95DBE68C"/>
    <w:rsid w:val="AC9E570B"/>
    <w:rsid w:val="B87F3CD6"/>
    <w:rsid w:val="B87F8451"/>
    <w:rsid w:val="BD3FABF8"/>
    <w:rsid w:val="BEF90978"/>
    <w:rsid w:val="BFFF77D6"/>
    <w:rsid w:val="C3FFC951"/>
    <w:rsid w:val="C76D6B29"/>
    <w:rsid w:val="CEF3191F"/>
    <w:rsid w:val="CFFF9F13"/>
    <w:rsid w:val="D6B7C201"/>
    <w:rsid w:val="DB2F5117"/>
    <w:rsid w:val="E7EF13F9"/>
    <w:rsid w:val="F4F76C66"/>
    <w:rsid w:val="F9DADAB3"/>
    <w:rsid w:val="FA1F53B1"/>
    <w:rsid w:val="FD65AC68"/>
    <w:rsid w:val="FE792B74"/>
    <w:rsid w:val="FE7DCEB4"/>
    <w:rsid w:val="FF5D0D24"/>
    <w:rsid w:val="FF6E27C7"/>
    <w:rsid w:val="FFD5620E"/>
    <w:rsid w:val="FFFF9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657</Words>
  <Characters>3745</Characters>
  <Lines>31</Lines>
  <Paragraphs>8</Paragraphs>
  <TotalTime>1</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2025-07-09T16:11:00Z</dcterms:created>
  <dc:creator>Administrator</dc:creator>
  <cp:lastModifiedBy>greatwall</cp:lastModifiedBy>
  <cp:lastPrinted>2025-07-05T23:00:00Z</cp:lastPrinted>
  <dcterms:modified xsi:type="dcterms:W3CDTF">2026-03-30T15:23:59Z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