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285E5">
      <w:pPr>
        <w:ind w:right="1280"/>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附件2：</w:t>
      </w:r>
    </w:p>
    <w:p w14:paraId="6B0485D3">
      <w:pPr>
        <w:ind w:right="1280"/>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评分表</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994"/>
        <w:gridCol w:w="6712"/>
      </w:tblGrid>
      <w:tr w14:paraId="759A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jc w:val="center"/>
        </w:trPr>
        <w:tc>
          <w:tcPr>
            <w:tcW w:w="1062" w:type="pct"/>
            <w:gridSpan w:val="2"/>
            <w:shd w:val="clear" w:color="auto" w:fill="auto"/>
            <w:noWrap/>
            <w:vAlign w:val="center"/>
          </w:tcPr>
          <w:p w14:paraId="10F1AAE2">
            <w:pPr>
              <w:jc w:val="center"/>
              <w:rPr>
                <w:rFonts w:ascii="仿宋" w:hAnsi="仿宋" w:eastAsia="仿宋" w:cs="仿宋"/>
                <w:b/>
                <w:bCs/>
                <w:color w:val="auto"/>
                <w:sz w:val="28"/>
                <w:szCs w:val="28"/>
              </w:rPr>
            </w:pPr>
            <w:r>
              <w:rPr>
                <w:rFonts w:hint="eastAsia" w:ascii="仿宋" w:hAnsi="仿宋" w:eastAsia="仿宋" w:cs="仿宋"/>
                <w:b/>
                <w:bCs/>
                <w:color w:val="auto"/>
                <w:sz w:val="28"/>
                <w:szCs w:val="28"/>
              </w:rPr>
              <w:t>评审内容</w:t>
            </w:r>
          </w:p>
        </w:tc>
        <w:tc>
          <w:tcPr>
            <w:tcW w:w="3938" w:type="pct"/>
            <w:shd w:val="clear" w:color="auto" w:fill="auto"/>
            <w:noWrap/>
            <w:vAlign w:val="center"/>
          </w:tcPr>
          <w:p w14:paraId="22356616">
            <w:pPr>
              <w:jc w:val="center"/>
              <w:rPr>
                <w:rFonts w:ascii="仿宋" w:hAnsi="仿宋" w:eastAsia="仿宋" w:cs="仿宋"/>
                <w:b/>
                <w:bCs/>
                <w:color w:val="auto"/>
                <w:sz w:val="28"/>
                <w:szCs w:val="28"/>
              </w:rPr>
            </w:pPr>
            <w:r>
              <w:rPr>
                <w:rFonts w:hint="eastAsia" w:ascii="仿宋" w:hAnsi="仿宋" w:eastAsia="仿宋" w:cs="仿宋"/>
                <w:b/>
                <w:bCs/>
                <w:color w:val="auto"/>
                <w:sz w:val="28"/>
                <w:szCs w:val="28"/>
              </w:rPr>
              <w:t>评审准则</w:t>
            </w:r>
          </w:p>
        </w:tc>
      </w:tr>
      <w:tr w14:paraId="4326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9" w:type="pct"/>
            <w:vMerge w:val="restart"/>
            <w:shd w:val="clear" w:color="auto" w:fill="auto"/>
            <w:noWrap/>
            <w:vAlign w:val="center"/>
          </w:tcPr>
          <w:p w14:paraId="35C39B12">
            <w:pPr>
              <w:jc w:val="center"/>
              <w:rPr>
                <w:rFonts w:ascii="仿宋" w:hAnsi="仿宋" w:eastAsia="仿宋" w:cs="仿宋"/>
                <w:color w:val="auto"/>
                <w:sz w:val="28"/>
                <w:szCs w:val="28"/>
              </w:rPr>
            </w:pPr>
            <w:r>
              <w:rPr>
                <w:rFonts w:hint="eastAsia" w:ascii="仿宋" w:hAnsi="仿宋" w:eastAsia="仿宋" w:cs="仿宋"/>
                <w:color w:val="auto"/>
                <w:sz w:val="28"/>
                <w:szCs w:val="28"/>
              </w:rPr>
              <w:t>技术评分（35分）</w:t>
            </w:r>
          </w:p>
        </w:tc>
        <w:tc>
          <w:tcPr>
            <w:tcW w:w="583" w:type="pct"/>
            <w:shd w:val="clear" w:color="auto" w:fill="auto"/>
            <w:noWrap/>
            <w:vAlign w:val="center"/>
          </w:tcPr>
          <w:p w14:paraId="2C20DF93">
            <w:pPr>
              <w:jc w:val="center"/>
              <w:rPr>
                <w:rFonts w:ascii="仿宋" w:hAnsi="仿宋" w:eastAsia="仿宋" w:cs="仿宋"/>
                <w:color w:val="auto"/>
                <w:sz w:val="28"/>
                <w:szCs w:val="28"/>
              </w:rPr>
            </w:pPr>
            <w:r>
              <w:rPr>
                <w:rFonts w:hint="eastAsia" w:ascii="仿宋" w:hAnsi="仿宋" w:eastAsia="仿宋" w:cs="仿宋"/>
                <w:color w:val="auto"/>
                <w:sz w:val="28"/>
                <w:szCs w:val="28"/>
              </w:rPr>
              <w:t>实施方案</w:t>
            </w:r>
          </w:p>
          <w:p w14:paraId="042DE2AC">
            <w:pPr>
              <w:jc w:val="center"/>
              <w:rPr>
                <w:rFonts w:ascii="仿宋" w:hAnsi="仿宋" w:eastAsia="仿宋" w:cs="仿宋"/>
                <w:color w:val="auto"/>
                <w:sz w:val="28"/>
                <w:szCs w:val="28"/>
              </w:rPr>
            </w:pPr>
            <w:r>
              <w:rPr>
                <w:rFonts w:hint="eastAsia" w:ascii="仿宋" w:hAnsi="仿宋" w:eastAsia="仿宋" w:cs="仿宋"/>
                <w:color w:val="auto"/>
                <w:sz w:val="28"/>
                <w:szCs w:val="28"/>
              </w:rPr>
              <w:t>（20分）</w:t>
            </w:r>
          </w:p>
        </w:tc>
        <w:tc>
          <w:tcPr>
            <w:tcW w:w="3938" w:type="pct"/>
            <w:shd w:val="clear" w:color="auto" w:fill="auto"/>
            <w:noWrap/>
            <w:vAlign w:val="center"/>
          </w:tcPr>
          <w:p w14:paraId="6F5D92E9">
            <w:pPr>
              <w:rPr>
                <w:rFonts w:ascii="仿宋" w:hAnsi="仿宋" w:eastAsia="仿宋" w:cs="仿宋"/>
                <w:color w:val="auto"/>
                <w:sz w:val="28"/>
                <w:szCs w:val="28"/>
              </w:rPr>
            </w:pPr>
            <w:r>
              <w:rPr>
                <w:rFonts w:hint="eastAsia" w:ascii="仿宋" w:hAnsi="仿宋" w:eastAsia="仿宋" w:cs="仿宋"/>
                <w:color w:val="auto"/>
                <w:sz w:val="28"/>
                <w:szCs w:val="28"/>
              </w:rPr>
              <w:t>根据服务商针对本项目提供实施方案（包括项目实施计划、组织实施等）进行评审：</w:t>
            </w:r>
          </w:p>
          <w:p w14:paraId="73D9D7D9">
            <w:pPr>
              <w:rPr>
                <w:rFonts w:ascii="仿宋" w:hAnsi="仿宋" w:eastAsia="仿宋" w:cs="仿宋"/>
                <w:color w:val="auto"/>
                <w:sz w:val="28"/>
                <w:szCs w:val="28"/>
              </w:rPr>
            </w:pPr>
            <w:r>
              <w:rPr>
                <w:rFonts w:hint="eastAsia" w:ascii="仿宋" w:hAnsi="仿宋" w:eastAsia="仿宋" w:cs="仿宋"/>
                <w:color w:val="auto"/>
                <w:sz w:val="28"/>
                <w:szCs w:val="28"/>
              </w:rPr>
              <w:t>（1）项目实施方案完整详细、科学合理、可行性强，有针对性，响应情况满足采购文件要求的，能够对项目实施过程中的难点重点进行充分的理解和分析，符合实际情况，并提出相应对策，有专业性和可行性，得20分；</w:t>
            </w:r>
          </w:p>
          <w:p w14:paraId="073A8C8F">
            <w:pPr>
              <w:rPr>
                <w:rFonts w:ascii="仿宋" w:hAnsi="仿宋" w:eastAsia="仿宋" w:cs="仿宋"/>
                <w:color w:val="auto"/>
                <w:sz w:val="28"/>
                <w:szCs w:val="28"/>
              </w:rPr>
            </w:pPr>
            <w:r>
              <w:rPr>
                <w:rFonts w:hint="eastAsia" w:ascii="仿宋" w:hAnsi="仿宋" w:eastAsia="仿宋" w:cs="仿宋"/>
                <w:color w:val="auto"/>
                <w:sz w:val="28"/>
                <w:szCs w:val="28"/>
              </w:rPr>
              <w:t>（2）项目实施方案详细、合理、具有一定的可行性，响应情况大部分能满足采购文件要求的，能够对项目实施过程中的难点重点进行基本的理解和分析，但理解不透测，提出对策比较专业和可行，得16分；</w:t>
            </w:r>
          </w:p>
          <w:p w14:paraId="6C2EECA3">
            <w:pPr>
              <w:rPr>
                <w:rFonts w:ascii="仿宋" w:hAnsi="仿宋" w:eastAsia="仿宋" w:cs="仿宋"/>
                <w:color w:val="auto"/>
                <w:sz w:val="28"/>
                <w:szCs w:val="28"/>
              </w:rPr>
            </w:pPr>
            <w:r>
              <w:rPr>
                <w:rFonts w:hint="eastAsia" w:ascii="仿宋" w:hAnsi="仿宋" w:eastAsia="仿宋" w:cs="仿宋"/>
                <w:color w:val="auto"/>
                <w:sz w:val="28"/>
                <w:szCs w:val="28"/>
              </w:rPr>
              <w:t>（3）项目实施方案完整、但可行性不足，响应情况部分能满足采购文件要求，对项目实施过程中的难点重点理解和分析简单、不深入，提出对策专业性和可行性一般，得10分；</w:t>
            </w:r>
          </w:p>
          <w:p w14:paraId="5F392D3D">
            <w:pPr>
              <w:rPr>
                <w:rFonts w:ascii="仿宋" w:hAnsi="仿宋" w:eastAsia="仿宋" w:cs="仿宋"/>
                <w:color w:val="auto"/>
                <w:sz w:val="28"/>
                <w:szCs w:val="28"/>
              </w:rPr>
            </w:pPr>
            <w:r>
              <w:rPr>
                <w:rFonts w:hint="eastAsia" w:ascii="仿宋" w:hAnsi="仿宋" w:eastAsia="仿宋" w:cs="仿宋"/>
                <w:color w:val="auto"/>
                <w:sz w:val="28"/>
                <w:szCs w:val="28"/>
              </w:rPr>
              <w:t>（4）项目实施方案不详细，响应情况不能满足采购文件要求，对项目实施过程中的难点重点理解和分析不符合实际，提出对策专业性和可行性较差，得8分；</w:t>
            </w:r>
          </w:p>
          <w:p w14:paraId="2F8958F3">
            <w:pPr>
              <w:rPr>
                <w:rFonts w:ascii="仿宋" w:hAnsi="仿宋" w:eastAsia="仿宋" w:cs="仿宋"/>
                <w:color w:val="auto"/>
                <w:sz w:val="28"/>
                <w:szCs w:val="28"/>
              </w:rPr>
            </w:pPr>
            <w:r>
              <w:rPr>
                <w:rFonts w:hint="eastAsia" w:ascii="仿宋" w:hAnsi="仿宋" w:eastAsia="仿宋" w:cs="仿宋"/>
                <w:color w:val="auto"/>
                <w:sz w:val="28"/>
                <w:szCs w:val="28"/>
              </w:rPr>
              <w:t>（5）未提交响应内容或其他情况，不得分。</w:t>
            </w:r>
          </w:p>
        </w:tc>
      </w:tr>
      <w:tr w14:paraId="66DA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9" w:type="pct"/>
            <w:vMerge w:val="continue"/>
            <w:shd w:val="clear" w:color="auto" w:fill="auto"/>
            <w:noWrap/>
            <w:vAlign w:val="center"/>
          </w:tcPr>
          <w:p w14:paraId="2A0B9D08">
            <w:pPr>
              <w:jc w:val="center"/>
              <w:rPr>
                <w:rFonts w:ascii="仿宋" w:hAnsi="仿宋" w:eastAsia="仿宋" w:cs="仿宋"/>
                <w:color w:val="auto"/>
                <w:sz w:val="28"/>
                <w:szCs w:val="28"/>
              </w:rPr>
            </w:pPr>
          </w:p>
        </w:tc>
        <w:tc>
          <w:tcPr>
            <w:tcW w:w="583" w:type="pct"/>
            <w:shd w:val="clear" w:color="auto" w:fill="auto"/>
            <w:noWrap/>
            <w:vAlign w:val="center"/>
          </w:tcPr>
          <w:p w14:paraId="1A9413E0">
            <w:pPr>
              <w:jc w:val="center"/>
              <w:rPr>
                <w:rFonts w:ascii="仿宋" w:hAnsi="仿宋" w:eastAsia="仿宋" w:cs="仿宋"/>
                <w:color w:val="auto"/>
                <w:sz w:val="28"/>
                <w:szCs w:val="28"/>
              </w:rPr>
            </w:pPr>
            <w:r>
              <w:rPr>
                <w:rFonts w:hint="eastAsia" w:ascii="仿宋" w:hAnsi="仿宋" w:eastAsia="仿宋" w:cs="仿宋"/>
                <w:color w:val="auto"/>
                <w:sz w:val="28"/>
                <w:szCs w:val="28"/>
              </w:rPr>
              <w:t>质量保障措施</w:t>
            </w:r>
          </w:p>
          <w:p w14:paraId="3DCB354B">
            <w:pPr>
              <w:jc w:val="center"/>
              <w:rPr>
                <w:rFonts w:ascii="仿宋" w:hAnsi="仿宋" w:eastAsia="仿宋" w:cs="仿宋"/>
                <w:color w:val="auto"/>
                <w:sz w:val="28"/>
                <w:szCs w:val="28"/>
              </w:rPr>
            </w:pPr>
            <w:r>
              <w:rPr>
                <w:rFonts w:hint="eastAsia" w:ascii="仿宋" w:hAnsi="仿宋" w:eastAsia="仿宋" w:cs="仿宋"/>
                <w:color w:val="auto"/>
                <w:sz w:val="28"/>
                <w:szCs w:val="28"/>
              </w:rPr>
              <w:t>（15分）</w:t>
            </w:r>
          </w:p>
        </w:tc>
        <w:tc>
          <w:tcPr>
            <w:tcW w:w="3938" w:type="pct"/>
            <w:shd w:val="clear" w:color="auto" w:fill="auto"/>
            <w:noWrap/>
            <w:vAlign w:val="center"/>
          </w:tcPr>
          <w:p w14:paraId="37C84B93">
            <w:pPr>
              <w:rPr>
                <w:rFonts w:ascii="仿宋" w:hAnsi="仿宋" w:eastAsia="仿宋" w:cs="仿宋"/>
                <w:color w:val="auto"/>
                <w:sz w:val="28"/>
                <w:szCs w:val="28"/>
              </w:rPr>
            </w:pPr>
            <w:r>
              <w:rPr>
                <w:rFonts w:hint="eastAsia" w:ascii="仿宋" w:hAnsi="仿宋" w:eastAsia="仿宋" w:cs="仿宋"/>
                <w:color w:val="auto"/>
                <w:sz w:val="28"/>
                <w:szCs w:val="28"/>
              </w:rPr>
              <w:t>根据服务商提供的质量保障措施进行评审：</w:t>
            </w:r>
          </w:p>
          <w:p w14:paraId="1A080B44">
            <w:pPr>
              <w:rPr>
                <w:rFonts w:ascii="仿宋" w:hAnsi="仿宋" w:eastAsia="仿宋" w:cs="仿宋"/>
                <w:color w:val="auto"/>
                <w:sz w:val="28"/>
                <w:szCs w:val="28"/>
              </w:rPr>
            </w:pPr>
            <w:r>
              <w:rPr>
                <w:rFonts w:hint="eastAsia" w:ascii="仿宋" w:hAnsi="仿宋" w:eastAsia="仿宋" w:cs="仿宋"/>
                <w:color w:val="auto"/>
                <w:sz w:val="28"/>
                <w:szCs w:val="28"/>
              </w:rPr>
              <w:t>（1）质量保障措施详细、合理，具有针对性，可操作性强，得</w:t>
            </w:r>
            <w:r>
              <w:rPr>
                <w:rFonts w:ascii="仿宋" w:hAnsi="仿宋" w:eastAsia="仿宋" w:cs="仿宋"/>
                <w:color w:val="auto"/>
                <w:sz w:val="28"/>
                <w:szCs w:val="28"/>
              </w:rPr>
              <w:t>15</w:t>
            </w:r>
            <w:r>
              <w:rPr>
                <w:rFonts w:hint="eastAsia" w:ascii="仿宋" w:hAnsi="仿宋" w:eastAsia="仿宋" w:cs="仿宋"/>
                <w:color w:val="auto"/>
                <w:sz w:val="28"/>
                <w:szCs w:val="28"/>
              </w:rPr>
              <w:t>分；</w:t>
            </w:r>
          </w:p>
          <w:p w14:paraId="41A4E068">
            <w:pPr>
              <w:rPr>
                <w:rFonts w:ascii="仿宋" w:hAnsi="仿宋" w:eastAsia="仿宋" w:cs="仿宋"/>
                <w:color w:val="auto"/>
                <w:sz w:val="28"/>
                <w:szCs w:val="28"/>
              </w:rPr>
            </w:pPr>
            <w:r>
              <w:rPr>
                <w:rFonts w:hint="eastAsia" w:ascii="仿宋" w:hAnsi="仿宋" w:eastAsia="仿宋" w:cs="仿宋"/>
                <w:color w:val="auto"/>
                <w:sz w:val="28"/>
                <w:szCs w:val="28"/>
              </w:rPr>
              <w:t>（2）质量保障措施基本完善，可操作性有所欠缺，得11分；</w:t>
            </w:r>
          </w:p>
          <w:p w14:paraId="6D41D22A">
            <w:pPr>
              <w:rPr>
                <w:rFonts w:ascii="仿宋" w:hAnsi="仿宋" w:eastAsia="仿宋" w:cs="仿宋"/>
                <w:color w:val="auto"/>
                <w:sz w:val="28"/>
                <w:szCs w:val="28"/>
              </w:rPr>
            </w:pPr>
            <w:r>
              <w:rPr>
                <w:rFonts w:hint="eastAsia" w:ascii="仿宋" w:hAnsi="仿宋" w:eastAsia="仿宋" w:cs="仿宋"/>
                <w:color w:val="auto"/>
                <w:sz w:val="28"/>
                <w:szCs w:val="28"/>
              </w:rPr>
              <w:t>（3）质量保障措施较完善，缺乏可操作性，得7分；</w:t>
            </w:r>
          </w:p>
          <w:p w14:paraId="1128940A">
            <w:pPr>
              <w:rPr>
                <w:rFonts w:ascii="仿宋" w:hAnsi="仿宋" w:eastAsia="仿宋" w:cs="仿宋"/>
                <w:color w:val="auto"/>
                <w:sz w:val="28"/>
                <w:szCs w:val="28"/>
              </w:rPr>
            </w:pPr>
            <w:r>
              <w:rPr>
                <w:rFonts w:hint="eastAsia" w:ascii="仿宋" w:hAnsi="仿宋" w:eastAsia="仿宋" w:cs="仿宋"/>
                <w:color w:val="auto"/>
                <w:sz w:val="28"/>
                <w:szCs w:val="28"/>
              </w:rPr>
              <w:t>（4）质量保障措施不完善，且不具有操作性，得2分；</w:t>
            </w:r>
          </w:p>
          <w:p w14:paraId="5CC403FF">
            <w:pPr>
              <w:rPr>
                <w:rFonts w:ascii="仿宋" w:hAnsi="仿宋" w:eastAsia="仿宋" w:cs="仿宋"/>
                <w:color w:val="auto"/>
                <w:sz w:val="28"/>
                <w:szCs w:val="28"/>
              </w:rPr>
            </w:pPr>
            <w:r>
              <w:rPr>
                <w:rFonts w:hint="eastAsia" w:ascii="仿宋" w:hAnsi="仿宋" w:eastAsia="仿宋" w:cs="仿宋"/>
                <w:color w:val="auto"/>
                <w:sz w:val="28"/>
                <w:szCs w:val="28"/>
              </w:rPr>
              <w:t>（5）质量保障措施可行性差或无提供，均不得分。</w:t>
            </w:r>
          </w:p>
        </w:tc>
      </w:tr>
      <w:tr w14:paraId="4C3B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9" w:type="pct"/>
            <w:vMerge w:val="restart"/>
            <w:shd w:val="clear" w:color="auto" w:fill="auto"/>
            <w:noWrap/>
            <w:vAlign w:val="center"/>
          </w:tcPr>
          <w:p w14:paraId="5A54630D">
            <w:pPr>
              <w:jc w:val="center"/>
              <w:rPr>
                <w:rFonts w:ascii="仿宋" w:hAnsi="仿宋" w:eastAsia="仿宋" w:cs="仿宋"/>
                <w:color w:val="auto"/>
                <w:sz w:val="28"/>
                <w:szCs w:val="28"/>
              </w:rPr>
            </w:pPr>
            <w:r>
              <w:rPr>
                <w:rFonts w:hint="eastAsia" w:ascii="仿宋" w:hAnsi="仿宋" w:eastAsia="仿宋" w:cs="仿宋"/>
                <w:color w:val="auto"/>
                <w:sz w:val="28"/>
                <w:szCs w:val="28"/>
              </w:rPr>
              <w:t>商务评分（5</w:t>
            </w:r>
            <w:r>
              <w:rPr>
                <w:rFonts w:ascii="仿宋" w:hAnsi="仿宋" w:eastAsia="仿宋" w:cs="仿宋"/>
                <w:color w:val="auto"/>
                <w:sz w:val="28"/>
                <w:szCs w:val="28"/>
              </w:rPr>
              <w:t>0</w:t>
            </w:r>
            <w:r>
              <w:rPr>
                <w:rFonts w:hint="eastAsia" w:ascii="仿宋" w:hAnsi="仿宋" w:eastAsia="仿宋" w:cs="仿宋"/>
                <w:color w:val="auto"/>
                <w:sz w:val="28"/>
                <w:szCs w:val="28"/>
              </w:rPr>
              <w:t>分）</w:t>
            </w:r>
          </w:p>
        </w:tc>
        <w:tc>
          <w:tcPr>
            <w:tcW w:w="583" w:type="pct"/>
            <w:shd w:val="clear" w:color="auto" w:fill="auto"/>
            <w:noWrap/>
            <w:vAlign w:val="center"/>
          </w:tcPr>
          <w:p w14:paraId="7268D205">
            <w:pPr>
              <w:jc w:val="center"/>
              <w:rPr>
                <w:rFonts w:ascii="仿宋" w:hAnsi="仿宋" w:eastAsia="仿宋" w:cs="仿宋"/>
                <w:color w:val="auto"/>
                <w:sz w:val="28"/>
                <w:szCs w:val="28"/>
              </w:rPr>
            </w:pPr>
            <w:r>
              <w:rPr>
                <w:rFonts w:hint="eastAsia" w:ascii="仿宋" w:hAnsi="仿宋" w:eastAsia="仿宋" w:cs="仿宋"/>
                <w:color w:val="auto"/>
                <w:sz w:val="28"/>
                <w:szCs w:val="28"/>
              </w:rPr>
              <w:t>项目业绩</w:t>
            </w:r>
          </w:p>
          <w:p w14:paraId="3A4E0406">
            <w:pPr>
              <w:jc w:val="center"/>
              <w:rPr>
                <w:rFonts w:ascii="仿宋" w:hAnsi="仿宋" w:eastAsia="仿宋" w:cs="仿宋"/>
                <w:color w:val="auto"/>
                <w:sz w:val="28"/>
                <w:szCs w:val="28"/>
              </w:rPr>
            </w:pPr>
            <w:r>
              <w:rPr>
                <w:rFonts w:hint="eastAsia" w:ascii="仿宋" w:hAnsi="仿宋" w:eastAsia="仿宋" w:cs="仿宋"/>
                <w:color w:val="auto"/>
                <w:sz w:val="28"/>
                <w:szCs w:val="28"/>
              </w:rPr>
              <w:t>（25分）</w:t>
            </w:r>
          </w:p>
        </w:tc>
        <w:tc>
          <w:tcPr>
            <w:tcW w:w="3938" w:type="pct"/>
            <w:shd w:val="clear" w:color="auto" w:fill="auto"/>
            <w:noWrap/>
            <w:vAlign w:val="center"/>
          </w:tcPr>
          <w:p w14:paraId="5DFD3DE8">
            <w:pPr>
              <w:rPr>
                <w:rFonts w:ascii="仿宋" w:hAnsi="仿宋" w:eastAsia="仿宋" w:cs="仿宋"/>
                <w:color w:val="auto"/>
                <w:sz w:val="28"/>
                <w:szCs w:val="28"/>
              </w:rPr>
            </w:pPr>
            <w:r>
              <w:rPr>
                <w:rFonts w:hint="eastAsia" w:ascii="仿宋" w:hAnsi="仿宋" w:eastAsia="仿宋" w:cs="仿宋"/>
                <w:color w:val="auto"/>
                <w:sz w:val="28"/>
                <w:szCs w:val="28"/>
              </w:rPr>
              <w:t>根据服务商2020年1月1日以来承担过相关规划编制等同类项目业绩情况，每提供一个得5分，本项最高得25分；</w:t>
            </w:r>
          </w:p>
          <w:p w14:paraId="573CE46B">
            <w:pPr>
              <w:rPr>
                <w:rFonts w:ascii="仿宋" w:hAnsi="仿宋" w:eastAsia="仿宋" w:cs="仿宋"/>
                <w:color w:val="auto"/>
                <w:sz w:val="28"/>
                <w:szCs w:val="28"/>
              </w:rPr>
            </w:pPr>
            <w:r>
              <w:rPr>
                <w:rFonts w:hint="eastAsia" w:ascii="仿宋" w:hAnsi="仿宋" w:eastAsia="仿宋" w:cs="仿宋"/>
                <w:color w:val="auto"/>
                <w:sz w:val="28"/>
                <w:szCs w:val="28"/>
              </w:rPr>
              <w:t>注:①须提供项目合同关键页复印件或其他相关证明材料并加盖服务商公章,提供不全或未提供不得分。</w:t>
            </w:r>
          </w:p>
          <w:p w14:paraId="5613AF5E">
            <w:pPr>
              <w:rPr>
                <w:rFonts w:ascii="仿宋" w:hAnsi="仿宋" w:eastAsia="仿宋" w:cs="仿宋"/>
                <w:color w:val="auto"/>
                <w:sz w:val="28"/>
                <w:szCs w:val="28"/>
              </w:rPr>
            </w:pPr>
            <w:r>
              <w:rPr>
                <w:rFonts w:hint="eastAsia" w:ascii="仿宋" w:hAnsi="仿宋" w:eastAsia="仿宋" w:cs="仿宋"/>
                <w:color w:val="auto"/>
                <w:sz w:val="28"/>
                <w:szCs w:val="28"/>
              </w:rPr>
              <w:t>②同一份合同只计分一次，不重复计分。</w:t>
            </w:r>
          </w:p>
        </w:tc>
      </w:tr>
      <w:tr w14:paraId="43F0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9" w:type="pct"/>
            <w:vMerge w:val="continue"/>
            <w:shd w:val="clear" w:color="auto" w:fill="auto"/>
            <w:noWrap/>
            <w:vAlign w:val="center"/>
          </w:tcPr>
          <w:p w14:paraId="2208D67D">
            <w:pPr>
              <w:jc w:val="center"/>
              <w:rPr>
                <w:rFonts w:ascii="仿宋" w:hAnsi="仿宋" w:eastAsia="仿宋" w:cs="仿宋"/>
                <w:color w:val="auto"/>
                <w:sz w:val="28"/>
                <w:szCs w:val="28"/>
              </w:rPr>
            </w:pPr>
          </w:p>
        </w:tc>
        <w:tc>
          <w:tcPr>
            <w:tcW w:w="583" w:type="pct"/>
            <w:shd w:val="clear" w:color="auto" w:fill="auto"/>
            <w:noWrap/>
            <w:vAlign w:val="center"/>
          </w:tcPr>
          <w:p w14:paraId="48194949">
            <w:pPr>
              <w:jc w:val="center"/>
              <w:rPr>
                <w:rFonts w:ascii="仿宋" w:hAnsi="仿宋" w:eastAsia="仿宋" w:cs="仿宋"/>
                <w:color w:val="auto"/>
                <w:sz w:val="28"/>
                <w:szCs w:val="28"/>
              </w:rPr>
            </w:pPr>
            <w:r>
              <w:rPr>
                <w:rFonts w:hint="eastAsia" w:ascii="仿宋" w:hAnsi="仿宋" w:eastAsia="仿宋" w:cs="仿宋"/>
                <w:color w:val="auto"/>
                <w:sz w:val="28"/>
                <w:szCs w:val="28"/>
              </w:rPr>
              <w:t>项目负责人实力</w:t>
            </w:r>
          </w:p>
          <w:p w14:paraId="0D1D4120">
            <w:pPr>
              <w:jc w:val="center"/>
              <w:rPr>
                <w:rFonts w:ascii="仿宋" w:hAnsi="仿宋" w:eastAsia="仿宋" w:cs="仿宋"/>
                <w:color w:val="auto"/>
                <w:sz w:val="28"/>
                <w:szCs w:val="28"/>
              </w:rPr>
            </w:pPr>
            <w:r>
              <w:rPr>
                <w:rFonts w:hint="eastAsia" w:ascii="仿宋" w:hAnsi="仿宋" w:eastAsia="仿宋" w:cs="仿宋"/>
                <w:color w:val="auto"/>
                <w:sz w:val="28"/>
                <w:szCs w:val="28"/>
              </w:rPr>
              <w:t>（7分）</w:t>
            </w:r>
          </w:p>
        </w:tc>
        <w:tc>
          <w:tcPr>
            <w:tcW w:w="3938" w:type="pct"/>
            <w:shd w:val="clear" w:color="auto" w:fill="auto"/>
            <w:noWrap/>
            <w:vAlign w:val="center"/>
          </w:tcPr>
          <w:p w14:paraId="365826AB">
            <w:pPr>
              <w:jc w:val="left"/>
              <w:rPr>
                <w:rFonts w:ascii="仿宋" w:hAnsi="仿宋" w:eastAsia="仿宋" w:cs="仿宋"/>
                <w:color w:val="auto"/>
                <w:sz w:val="28"/>
                <w:szCs w:val="28"/>
              </w:rPr>
            </w:pPr>
            <w:r>
              <w:rPr>
                <w:rFonts w:hint="eastAsia" w:ascii="仿宋" w:hAnsi="仿宋" w:eastAsia="仿宋" w:cs="仿宋"/>
                <w:color w:val="auto"/>
                <w:sz w:val="28"/>
                <w:szCs w:val="28"/>
              </w:rPr>
              <w:t>项目负责人具有环保或相关专业高级职称的得7分，具有环保相关专业中级职称的得4分，具有环保相关专业初级职称的得2分，其余不得分。</w:t>
            </w:r>
          </w:p>
          <w:p w14:paraId="6ED030E1">
            <w:pPr>
              <w:jc w:val="left"/>
              <w:rPr>
                <w:rFonts w:ascii="仿宋" w:hAnsi="仿宋" w:eastAsia="仿宋" w:cs="仿宋"/>
                <w:color w:val="auto"/>
                <w:sz w:val="28"/>
                <w:szCs w:val="28"/>
              </w:rPr>
            </w:pPr>
            <w:r>
              <w:rPr>
                <w:rFonts w:hint="eastAsia" w:ascii="仿宋" w:hAnsi="仿宋" w:eastAsia="仿宋" w:cs="仿宋"/>
                <w:color w:val="auto"/>
                <w:sz w:val="28"/>
                <w:szCs w:val="28"/>
              </w:rPr>
              <w:t>注：须提供上述人员相关职称证书复印件、以及上述人员与服务商签订的劳务合同复印件或由社保机构或税务部门出具的在本项目投标截止日前6个月内任意1个月的由服务商为其购买的社保证明加盖服务商公章，无或缺项或未按要求递交证明材料的不得分。</w:t>
            </w:r>
          </w:p>
        </w:tc>
      </w:tr>
      <w:tr w14:paraId="495E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9" w:type="pct"/>
            <w:vMerge w:val="continue"/>
            <w:shd w:val="clear" w:color="auto" w:fill="auto"/>
            <w:noWrap/>
            <w:vAlign w:val="center"/>
          </w:tcPr>
          <w:p w14:paraId="6E5044B2">
            <w:pPr>
              <w:jc w:val="center"/>
              <w:rPr>
                <w:rFonts w:ascii="仿宋" w:hAnsi="仿宋" w:eastAsia="仿宋" w:cs="仿宋"/>
                <w:color w:val="auto"/>
                <w:sz w:val="28"/>
                <w:szCs w:val="28"/>
              </w:rPr>
            </w:pPr>
          </w:p>
        </w:tc>
        <w:tc>
          <w:tcPr>
            <w:tcW w:w="583" w:type="pct"/>
            <w:shd w:val="clear" w:color="auto" w:fill="auto"/>
            <w:noWrap/>
            <w:vAlign w:val="center"/>
          </w:tcPr>
          <w:p w14:paraId="186854F5">
            <w:pPr>
              <w:jc w:val="center"/>
              <w:rPr>
                <w:rFonts w:ascii="仿宋" w:hAnsi="仿宋" w:eastAsia="仿宋" w:cs="仿宋"/>
                <w:color w:val="auto"/>
                <w:sz w:val="28"/>
                <w:szCs w:val="28"/>
              </w:rPr>
            </w:pPr>
            <w:r>
              <w:rPr>
                <w:rFonts w:hint="eastAsia" w:ascii="仿宋" w:hAnsi="仿宋" w:eastAsia="仿宋" w:cs="仿宋"/>
                <w:color w:val="auto"/>
                <w:sz w:val="28"/>
                <w:szCs w:val="28"/>
              </w:rPr>
              <w:t>团队实力</w:t>
            </w:r>
          </w:p>
          <w:p w14:paraId="758FEAE1">
            <w:pPr>
              <w:jc w:val="center"/>
              <w:rPr>
                <w:rFonts w:ascii="仿宋" w:hAnsi="仿宋" w:eastAsia="仿宋" w:cs="仿宋"/>
                <w:color w:val="auto"/>
                <w:sz w:val="28"/>
                <w:szCs w:val="28"/>
              </w:rPr>
            </w:pPr>
            <w:r>
              <w:rPr>
                <w:rFonts w:hint="eastAsia" w:ascii="仿宋" w:hAnsi="仿宋" w:eastAsia="仿宋" w:cs="仿宋"/>
                <w:color w:val="auto"/>
                <w:sz w:val="28"/>
                <w:szCs w:val="28"/>
              </w:rPr>
              <w:t>（18分）</w:t>
            </w:r>
          </w:p>
        </w:tc>
        <w:tc>
          <w:tcPr>
            <w:tcW w:w="3938" w:type="pct"/>
            <w:shd w:val="clear" w:color="auto" w:fill="auto"/>
            <w:noWrap/>
            <w:vAlign w:val="center"/>
          </w:tcPr>
          <w:p w14:paraId="2D32BC91">
            <w:pPr>
              <w:rPr>
                <w:rFonts w:ascii="仿宋" w:hAnsi="仿宋" w:eastAsia="仿宋" w:cs="仿宋"/>
                <w:color w:val="auto"/>
                <w:sz w:val="28"/>
                <w:szCs w:val="28"/>
              </w:rPr>
            </w:pPr>
            <w:r>
              <w:rPr>
                <w:rFonts w:hint="eastAsia" w:ascii="仿宋" w:hAnsi="仿宋" w:eastAsia="仿宋" w:cs="仿宋"/>
                <w:color w:val="auto"/>
                <w:sz w:val="28"/>
                <w:szCs w:val="28"/>
              </w:rPr>
              <w:t>除项目负责人外的团队人员：具备环保或相关专业高级及以上技术职称的，每1人得3分；具有环保或相关专业中级职称的，每1人得2分；具有环保或相关专业初级职称的，每1人得1分；否则不得分。</w:t>
            </w:r>
          </w:p>
          <w:p w14:paraId="0E78BFB3">
            <w:pPr>
              <w:rPr>
                <w:rFonts w:ascii="仿宋" w:hAnsi="仿宋" w:eastAsia="仿宋" w:cs="仿宋"/>
                <w:color w:val="auto"/>
                <w:sz w:val="28"/>
                <w:szCs w:val="28"/>
              </w:rPr>
            </w:pPr>
            <w:r>
              <w:rPr>
                <w:rFonts w:hint="eastAsia" w:ascii="仿宋" w:hAnsi="仿宋" w:eastAsia="仿宋" w:cs="仿宋"/>
                <w:color w:val="auto"/>
                <w:sz w:val="28"/>
                <w:szCs w:val="28"/>
              </w:rPr>
              <w:t>注：上述合计最高得18分，同一人员具备多个不同等级职称的，不重复计算得分。须提供上述人员相关职称证书复印件、以及上述人员与服务商签订的劳务合同复印件或由社保机构或税务部门出具的在本项目投标截止日前6个月内任意1个月的由服务商为其购买的社保证明加盖服务商公章，无或缺项或未按要求递交证明材料的不得分。</w:t>
            </w:r>
          </w:p>
        </w:tc>
      </w:tr>
      <w:tr w14:paraId="6EA8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2" w:type="pct"/>
            <w:gridSpan w:val="2"/>
            <w:shd w:val="clear" w:color="auto" w:fill="auto"/>
            <w:noWrap/>
            <w:vAlign w:val="center"/>
          </w:tcPr>
          <w:p w14:paraId="5A811C67">
            <w:pPr>
              <w:jc w:val="center"/>
              <w:rPr>
                <w:rFonts w:ascii="仿宋" w:hAnsi="仿宋" w:eastAsia="仿宋" w:cs="仿宋"/>
                <w:color w:val="auto"/>
                <w:sz w:val="28"/>
                <w:szCs w:val="28"/>
              </w:rPr>
            </w:pPr>
            <w:r>
              <w:rPr>
                <w:rFonts w:hint="eastAsia" w:ascii="仿宋" w:hAnsi="仿宋" w:eastAsia="仿宋" w:cs="仿宋"/>
                <w:color w:val="auto"/>
                <w:sz w:val="28"/>
                <w:szCs w:val="28"/>
              </w:rPr>
              <w:t>价格评分（15分）</w:t>
            </w:r>
          </w:p>
        </w:tc>
        <w:tc>
          <w:tcPr>
            <w:tcW w:w="3938" w:type="pct"/>
            <w:shd w:val="clear" w:color="auto" w:fill="auto"/>
            <w:noWrap/>
            <w:vAlign w:val="center"/>
          </w:tcPr>
          <w:p w14:paraId="262B855E">
            <w:pPr>
              <w:jc w:val="left"/>
              <w:rPr>
                <w:rFonts w:ascii="仿宋" w:hAnsi="仿宋" w:eastAsia="仿宋" w:cs="仿宋"/>
                <w:color w:val="auto"/>
                <w:sz w:val="28"/>
                <w:szCs w:val="28"/>
              </w:rPr>
            </w:pPr>
            <w:r>
              <w:rPr>
                <w:rFonts w:hint="eastAsia" w:ascii="仿宋" w:hAnsi="仿宋" w:eastAsia="仿宋" w:cs="仿宋"/>
                <w:color w:val="auto"/>
                <w:sz w:val="28"/>
                <w:szCs w:val="28"/>
              </w:rPr>
              <w:t>满足招标文件要求且价格最低的投标价为基准价，其价格分为满分。其他投标人的价格分统一按照下列公式计算：价格分=(基准价／投标报价)×价格权值×100（对符合规定的小型和微型企业（监狱企业、残疾人福利单位视同小型、微型企业）报价给予10%的价格扣除。）</w:t>
            </w:r>
          </w:p>
        </w:tc>
      </w:tr>
    </w:tbl>
    <w:p w14:paraId="55E9F49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AD7248"/>
    <w:rsid w:val="14AD7248"/>
    <w:rsid w:val="69E50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2026-03-30T00:52:00Z</dcterms:created>
  <dc:creator>tshjb</dc:creator>
  <cp:lastModifiedBy>Administrator</cp:lastModifiedBy>
  <dcterms:modified xsi:type="dcterms:W3CDTF">2026-03-30T01:10:04Z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E3840E9BA2C34C90B13926762E45C261_11</vt:lpwstr>
  </property>
</Properties>
</file>