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F16BF">
      <w:pPr>
        <w:spacing w:line="500" w:lineRule="exact"/>
        <w:rPr>
          <w:rFonts w:hint="default" w:eastAsia="黑体" w:cs="Times New Roman"/>
          <w:sz w:val="32"/>
          <w:szCs w:val="32"/>
          <w:lang w:val="en-US" w:eastAsia="zh-CN"/>
        </w:rPr>
      </w:pPr>
      <w:r>
        <w:rPr>
          <w:rFonts w:hint="default" w:eastAsia="黑体" w:cs="Times New Roman"/>
          <w:sz w:val="32"/>
          <w:szCs w:val="32"/>
          <w:lang w:eastAsia="zh-CN"/>
        </w:rPr>
        <w:t>附件</w:t>
      </w:r>
      <w:r>
        <w:rPr>
          <w:rFonts w:hint="default" w:eastAsia="黑体" w:cs="Times New Roman"/>
          <w:sz w:val="32"/>
          <w:szCs w:val="32"/>
          <w:lang w:val="en-US" w:eastAsia="zh-CN"/>
        </w:rPr>
        <w:t>2</w:t>
      </w:r>
    </w:p>
    <w:p w14:paraId="3FD30DAC">
      <w:pPr>
        <w:keepNext w:val="0"/>
        <w:keepLines w:val="0"/>
        <w:pageBreakBefore w:val="0"/>
        <w:widowControl w:val="0"/>
        <w:kinsoku/>
        <w:wordWrap/>
        <w:overflowPunct/>
        <w:topLinePunct w:val="0"/>
        <w:autoSpaceDE/>
        <w:autoSpaceDN/>
        <w:bidi w:val="0"/>
        <w:adjustRightInd/>
        <w:snapToGrid/>
        <w:spacing w:after="219" w:afterLines="50" w:line="500" w:lineRule="exact"/>
        <w:jc w:val="center"/>
        <w:textAlignment w:val="auto"/>
        <w:rPr>
          <w:rFonts w:hint="default" w:cs="Times New Roman"/>
          <w:lang w:val="en-US" w:eastAsia="zh-CN"/>
        </w:rPr>
      </w:pPr>
      <w:bookmarkStart w:id="0" w:name="_GoBack"/>
      <w:r>
        <w:rPr>
          <w:rFonts w:hint="default" w:ascii="Times New Roman" w:hAnsi="Times New Roman" w:eastAsia="方正小标宋_GBK" w:cs="Times New Roman"/>
          <w:sz w:val="36"/>
          <w:szCs w:val="36"/>
          <w:lang w:val="en-US" w:eastAsia="zh-CN"/>
        </w:rPr>
        <w:t>江门市2026年碳市场企业碳数据质量管理项目评分表</w:t>
      </w:r>
      <w:bookmarkEnd w:id="0"/>
    </w:p>
    <w:tbl>
      <w:tblPr>
        <w:tblStyle w:val="4"/>
        <w:tblW w:w="1364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8"/>
        <w:gridCol w:w="875"/>
        <w:gridCol w:w="7865"/>
        <w:gridCol w:w="1222"/>
        <w:gridCol w:w="1334"/>
        <w:gridCol w:w="1591"/>
      </w:tblGrid>
      <w:tr w14:paraId="57617B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758" w:type="dxa"/>
            <w:tcBorders>
              <w:bottom w:val="single" w:color="auto" w:sz="6" w:space="0"/>
              <w:right w:val="single" w:color="auto" w:sz="6" w:space="0"/>
            </w:tcBorders>
            <w:noWrap w:val="0"/>
            <w:vAlign w:val="center"/>
          </w:tcPr>
          <w:p w14:paraId="2BAC00D5">
            <w:pPr>
              <w:autoSpaceDE w:val="0"/>
              <w:autoSpaceDN w:val="0"/>
              <w:adjustRightInd w:val="0"/>
              <w:snapToGrid w:val="0"/>
              <w:spacing w:line="264" w:lineRule="auto"/>
              <w:ind w:left="-111" w:leftChars="-37" w:right="-105" w:rightChars="-35"/>
              <w:jc w:val="center"/>
              <w:rPr>
                <w:rFonts w:ascii="Times New Roman" w:hAnsi="Times New Roman" w:eastAsia="方正黑体_GBK" w:cs="Times New Roman"/>
                <w:kern w:val="0"/>
                <w:sz w:val="21"/>
                <w:szCs w:val="21"/>
              </w:rPr>
            </w:pPr>
            <w:r>
              <w:rPr>
                <w:rFonts w:ascii="Times New Roman" w:hAnsi="Times New Roman" w:eastAsia="方正黑体_GBK" w:cs="Times New Roman"/>
                <w:kern w:val="0"/>
                <w:sz w:val="21"/>
                <w:szCs w:val="21"/>
              </w:rPr>
              <w:t>序号</w:t>
            </w:r>
          </w:p>
        </w:tc>
        <w:tc>
          <w:tcPr>
            <w:tcW w:w="875" w:type="dxa"/>
            <w:tcBorders>
              <w:left w:val="single" w:color="auto" w:sz="6" w:space="0"/>
              <w:bottom w:val="single" w:color="auto" w:sz="6" w:space="0"/>
              <w:right w:val="single" w:color="auto" w:sz="6" w:space="0"/>
            </w:tcBorders>
            <w:noWrap w:val="0"/>
            <w:vAlign w:val="center"/>
          </w:tcPr>
          <w:p w14:paraId="6F5EF4F2">
            <w:pPr>
              <w:autoSpaceDE w:val="0"/>
              <w:autoSpaceDN w:val="0"/>
              <w:adjustRightInd w:val="0"/>
              <w:snapToGrid w:val="0"/>
              <w:spacing w:line="264" w:lineRule="auto"/>
              <w:ind w:left="-111" w:leftChars="-37" w:right="-105" w:rightChars="-35"/>
              <w:jc w:val="center"/>
              <w:rPr>
                <w:rFonts w:ascii="Times New Roman" w:hAnsi="Times New Roman" w:eastAsia="方正黑体_GBK" w:cs="Times New Roman"/>
                <w:kern w:val="0"/>
                <w:sz w:val="21"/>
                <w:szCs w:val="21"/>
              </w:rPr>
            </w:pPr>
            <w:r>
              <w:rPr>
                <w:rFonts w:ascii="Times New Roman" w:hAnsi="Times New Roman" w:eastAsia="方正黑体_GBK" w:cs="Times New Roman"/>
                <w:kern w:val="0"/>
                <w:sz w:val="21"/>
                <w:szCs w:val="21"/>
              </w:rPr>
              <w:t>评审</w:t>
            </w:r>
          </w:p>
          <w:p w14:paraId="68B1B12F">
            <w:pPr>
              <w:autoSpaceDE w:val="0"/>
              <w:autoSpaceDN w:val="0"/>
              <w:adjustRightInd w:val="0"/>
              <w:snapToGrid w:val="0"/>
              <w:spacing w:line="264" w:lineRule="auto"/>
              <w:ind w:left="-111" w:leftChars="-37" w:right="-105" w:rightChars="-35"/>
              <w:jc w:val="center"/>
              <w:rPr>
                <w:rFonts w:ascii="Times New Roman" w:hAnsi="Times New Roman" w:eastAsia="方正黑体_GBK" w:cs="Times New Roman"/>
                <w:kern w:val="0"/>
                <w:sz w:val="21"/>
                <w:szCs w:val="21"/>
              </w:rPr>
            </w:pPr>
            <w:r>
              <w:rPr>
                <w:rFonts w:ascii="Times New Roman" w:hAnsi="Times New Roman" w:eastAsia="方正黑体_GBK" w:cs="Times New Roman"/>
                <w:kern w:val="0"/>
                <w:sz w:val="21"/>
                <w:szCs w:val="21"/>
              </w:rPr>
              <w:t>因素</w:t>
            </w:r>
          </w:p>
        </w:tc>
        <w:tc>
          <w:tcPr>
            <w:tcW w:w="7865" w:type="dxa"/>
            <w:tcBorders>
              <w:left w:val="single" w:color="auto" w:sz="6" w:space="0"/>
              <w:bottom w:val="single" w:color="auto" w:sz="6" w:space="0"/>
              <w:right w:val="single" w:color="auto" w:sz="6" w:space="0"/>
            </w:tcBorders>
            <w:noWrap w:val="0"/>
            <w:vAlign w:val="center"/>
          </w:tcPr>
          <w:p w14:paraId="6E5C328E">
            <w:pPr>
              <w:autoSpaceDE w:val="0"/>
              <w:autoSpaceDN w:val="0"/>
              <w:adjustRightInd w:val="0"/>
              <w:snapToGrid w:val="0"/>
              <w:spacing w:line="264" w:lineRule="auto"/>
              <w:ind w:left="-111" w:leftChars="-37" w:right="-105" w:rightChars="-35"/>
              <w:jc w:val="center"/>
              <w:rPr>
                <w:rFonts w:ascii="Times New Roman" w:hAnsi="Times New Roman" w:eastAsia="方正黑体_GBK" w:cs="Times New Roman"/>
                <w:kern w:val="0"/>
                <w:sz w:val="21"/>
                <w:szCs w:val="21"/>
              </w:rPr>
            </w:pPr>
            <w:r>
              <w:rPr>
                <w:rFonts w:ascii="Times New Roman" w:hAnsi="Times New Roman" w:eastAsia="方正黑体_GBK" w:cs="Times New Roman"/>
                <w:kern w:val="0"/>
                <w:sz w:val="21"/>
                <w:szCs w:val="21"/>
              </w:rPr>
              <w:t>评分细则</w:t>
            </w:r>
          </w:p>
        </w:tc>
        <w:tc>
          <w:tcPr>
            <w:tcW w:w="1222" w:type="dxa"/>
            <w:tcBorders>
              <w:left w:val="single" w:color="auto" w:sz="6" w:space="0"/>
              <w:bottom w:val="single" w:color="auto" w:sz="6" w:space="0"/>
              <w:right w:val="single" w:color="auto" w:sz="6" w:space="0"/>
            </w:tcBorders>
            <w:noWrap w:val="0"/>
            <w:vAlign w:val="center"/>
          </w:tcPr>
          <w:p w14:paraId="36E53DFD">
            <w:pPr>
              <w:autoSpaceDE w:val="0"/>
              <w:autoSpaceDN w:val="0"/>
              <w:adjustRightInd w:val="0"/>
              <w:snapToGrid w:val="0"/>
              <w:spacing w:line="264" w:lineRule="auto"/>
              <w:ind w:left="-111" w:leftChars="-37" w:right="-105" w:rightChars="-35"/>
              <w:jc w:val="center"/>
              <w:rPr>
                <w:rFonts w:ascii="Times New Roman" w:hAnsi="Times New Roman" w:eastAsia="方正黑体_GBK" w:cs="Times New Roman"/>
                <w:kern w:val="0"/>
                <w:sz w:val="21"/>
                <w:szCs w:val="21"/>
              </w:rPr>
            </w:pPr>
            <w:r>
              <w:rPr>
                <w:rFonts w:ascii="Times New Roman" w:hAnsi="Times New Roman" w:eastAsia="方正黑体_GBK" w:cs="Times New Roman"/>
                <w:kern w:val="0"/>
                <w:sz w:val="21"/>
                <w:szCs w:val="21"/>
              </w:rPr>
              <w:t>分值（分）</w:t>
            </w:r>
          </w:p>
        </w:tc>
        <w:tc>
          <w:tcPr>
            <w:tcW w:w="1334" w:type="dxa"/>
            <w:tcBorders>
              <w:left w:val="single" w:color="auto" w:sz="6" w:space="0"/>
              <w:bottom w:val="single" w:color="auto" w:sz="6" w:space="0"/>
              <w:right w:val="single" w:color="auto" w:sz="6" w:space="0"/>
            </w:tcBorders>
            <w:noWrap w:val="0"/>
            <w:vAlign w:val="center"/>
          </w:tcPr>
          <w:p w14:paraId="6E2EC934">
            <w:pPr>
              <w:autoSpaceDE w:val="0"/>
              <w:autoSpaceDN w:val="0"/>
              <w:adjustRightInd w:val="0"/>
              <w:snapToGrid w:val="0"/>
              <w:spacing w:line="264" w:lineRule="auto"/>
              <w:ind w:left="-111" w:leftChars="-37" w:right="-105" w:rightChars="-35"/>
              <w:jc w:val="center"/>
              <w:rPr>
                <w:rFonts w:ascii="Times New Roman" w:hAnsi="Times New Roman" w:eastAsia="方正黑体_GBK" w:cs="Times New Roman"/>
                <w:kern w:val="0"/>
                <w:sz w:val="21"/>
                <w:szCs w:val="21"/>
              </w:rPr>
            </w:pPr>
            <w:r>
              <w:rPr>
                <w:rFonts w:ascii="Times New Roman" w:hAnsi="Times New Roman" w:eastAsia="方正黑体_GBK" w:cs="Times New Roman"/>
                <w:kern w:val="0"/>
                <w:sz w:val="21"/>
                <w:szCs w:val="21"/>
              </w:rPr>
              <w:t>供应商</w:t>
            </w:r>
          </w:p>
          <w:p w14:paraId="0E632A10">
            <w:pPr>
              <w:autoSpaceDE w:val="0"/>
              <w:autoSpaceDN w:val="0"/>
              <w:adjustRightInd w:val="0"/>
              <w:snapToGrid w:val="0"/>
              <w:spacing w:line="264" w:lineRule="auto"/>
              <w:ind w:left="-111" w:leftChars="-37" w:right="-105" w:rightChars="-35"/>
              <w:jc w:val="center"/>
              <w:rPr>
                <w:rFonts w:ascii="Times New Roman" w:hAnsi="Times New Roman" w:eastAsia="方正黑体_GBK" w:cs="Times New Roman"/>
                <w:kern w:val="0"/>
                <w:sz w:val="21"/>
                <w:szCs w:val="21"/>
              </w:rPr>
            </w:pPr>
            <w:r>
              <w:rPr>
                <w:rFonts w:ascii="Times New Roman" w:hAnsi="Times New Roman" w:eastAsia="方正黑体_GBK" w:cs="Times New Roman"/>
                <w:kern w:val="0"/>
                <w:sz w:val="21"/>
                <w:szCs w:val="21"/>
              </w:rPr>
              <w:t>得分（分）</w:t>
            </w:r>
          </w:p>
        </w:tc>
        <w:tc>
          <w:tcPr>
            <w:tcW w:w="1591" w:type="dxa"/>
            <w:tcBorders>
              <w:left w:val="single" w:color="auto" w:sz="6" w:space="0"/>
              <w:bottom w:val="single" w:color="auto" w:sz="6" w:space="0"/>
            </w:tcBorders>
            <w:noWrap w:val="0"/>
            <w:vAlign w:val="center"/>
          </w:tcPr>
          <w:p w14:paraId="76B28DB7">
            <w:pPr>
              <w:autoSpaceDE w:val="0"/>
              <w:autoSpaceDN w:val="0"/>
              <w:adjustRightInd w:val="0"/>
              <w:snapToGrid w:val="0"/>
              <w:spacing w:line="264" w:lineRule="auto"/>
              <w:ind w:left="-111" w:leftChars="-37" w:right="-105" w:rightChars="-35"/>
              <w:jc w:val="center"/>
              <w:rPr>
                <w:rFonts w:hint="default" w:ascii="Times New Roman" w:hAnsi="Times New Roman" w:eastAsia="方正黑体_GBK" w:cs="Times New Roman"/>
                <w:kern w:val="0"/>
                <w:sz w:val="21"/>
                <w:szCs w:val="21"/>
                <w:lang w:eastAsia="zh-CN"/>
              </w:rPr>
            </w:pPr>
            <w:r>
              <w:rPr>
                <w:rFonts w:hint="default" w:ascii="Times New Roman" w:hAnsi="Times New Roman" w:eastAsia="方正黑体_GBK" w:cs="Times New Roman"/>
                <w:kern w:val="0"/>
                <w:sz w:val="21"/>
                <w:szCs w:val="21"/>
                <w:lang w:eastAsia="zh-CN"/>
              </w:rPr>
              <w:t>备注</w:t>
            </w:r>
          </w:p>
        </w:tc>
      </w:tr>
      <w:tr w14:paraId="054B31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13645" w:type="dxa"/>
            <w:gridSpan w:val="6"/>
            <w:tcBorders>
              <w:top w:val="single" w:color="auto" w:sz="6" w:space="0"/>
              <w:bottom w:val="single" w:color="auto" w:sz="6" w:space="0"/>
            </w:tcBorders>
            <w:noWrap w:val="0"/>
            <w:vAlign w:val="center"/>
          </w:tcPr>
          <w:p w14:paraId="03C2DD13">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ascii="Times New Roman" w:hAnsi="Times New Roman" w:eastAsia="方正仿宋_GBK" w:cs="Times New Roman"/>
                <w:kern w:val="0"/>
                <w:sz w:val="21"/>
                <w:szCs w:val="21"/>
              </w:rPr>
            </w:pPr>
            <w:r>
              <w:rPr>
                <w:rFonts w:hint="default" w:ascii="Times New Roman" w:hAnsi="Times New Roman" w:eastAsia="国标黑体" w:cs="Times New Roman"/>
                <w:kern w:val="0"/>
                <w:sz w:val="22"/>
                <w:szCs w:val="22"/>
                <w:lang w:eastAsia="zh-CN"/>
              </w:rPr>
              <w:t>一、技术部分（</w:t>
            </w:r>
            <w:r>
              <w:rPr>
                <w:rFonts w:hint="default" w:ascii="Times New Roman" w:hAnsi="Times New Roman" w:eastAsia="国标黑体" w:cs="Times New Roman"/>
                <w:kern w:val="0"/>
                <w:sz w:val="22"/>
                <w:szCs w:val="22"/>
                <w:lang w:val="en-US" w:eastAsia="zh-CN"/>
              </w:rPr>
              <w:t>45分</w:t>
            </w:r>
            <w:r>
              <w:rPr>
                <w:rFonts w:hint="default" w:ascii="Times New Roman" w:hAnsi="Times New Roman" w:eastAsia="国标黑体" w:cs="Times New Roman"/>
                <w:kern w:val="0"/>
                <w:sz w:val="22"/>
                <w:szCs w:val="22"/>
                <w:lang w:eastAsia="zh-CN"/>
              </w:rPr>
              <w:t>）</w:t>
            </w:r>
          </w:p>
        </w:tc>
      </w:tr>
      <w:tr w14:paraId="2A4FE6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22" w:hRule="atLeast"/>
          <w:jc w:val="center"/>
        </w:trPr>
        <w:tc>
          <w:tcPr>
            <w:tcW w:w="758" w:type="dxa"/>
            <w:tcBorders>
              <w:top w:val="single" w:color="auto" w:sz="6" w:space="0"/>
              <w:bottom w:val="single" w:color="auto" w:sz="6" w:space="0"/>
              <w:right w:val="single" w:color="auto" w:sz="6" w:space="0"/>
            </w:tcBorders>
            <w:noWrap w:val="0"/>
            <w:vAlign w:val="center"/>
          </w:tcPr>
          <w:p w14:paraId="29D5C747">
            <w:pPr>
              <w:numPr>
                <w:ilvl w:val="0"/>
                <w:numId w:val="0"/>
              </w:numPr>
              <w:suppressAutoHyphens/>
              <w:autoSpaceDE w:val="0"/>
              <w:autoSpaceDN w:val="0"/>
              <w:adjustRightInd w:val="0"/>
              <w:snapToGrid w:val="0"/>
              <w:spacing w:line="200" w:lineRule="exact"/>
              <w:ind w:leftChars="0"/>
              <w:jc w:val="both"/>
              <w:rPr>
                <w:rFonts w:hint="eastAsia" w:ascii="Times New Roman" w:hAnsi="Times New Roman" w:eastAsia="方正仿宋_GBK" w:cs="Times New Roman"/>
                <w:bCs/>
                <w:sz w:val="21"/>
                <w:szCs w:val="21"/>
                <w:lang w:eastAsia="zh-CN"/>
              </w:rPr>
            </w:pPr>
            <w:r>
              <w:rPr>
                <w:rFonts w:hint="eastAsia" w:eastAsia="方正仿宋_GBK" w:cs="Times New Roman"/>
                <w:bCs/>
                <w:sz w:val="21"/>
                <w:szCs w:val="21"/>
                <w:lang w:eastAsia="zh-CN"/>
              </w:rPr>
              <w:t>（一）</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36991CC0">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实施</w:t>
            </w:r>
          </w:p>
          <w:p w14:paraId="4464CDC6">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方案</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40A636D2">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rPr>
            </w:pPr>
            <w:r>
              <w:rPr>
                <w:rFonts w:ascii="Times New Roman" w:hAnsi="Times New Roman" w:eastAsia="方正仿宋_GBK" w:cs="Times New Roman"/>
                <w:sz w:val="21"/>
                <w:szCs w:val="21"/>
              </w:rPr>
              <w:t>根据供应商</w:t>
            </w:r>
            <w:r>
              <w:rPr>
                <w:rFonts w:hint="eastAsia" w:eastAsia="方正仿宋_GBK" w:cs="Times New Roman"/>
                <w:sz w:val="21"/>
                <w:szCs w:val="21"/>
                <w:lang w:eastAsia="zh-CN"/>
              </w:rPr>
              <w:t>提供的</w:t>
            </w:r>
            <w:r>
              <w:rPr>
                <w:rFonts w:ascii="Times New Roman" w:hAnsi="Times New Roman" w:eastAsia="方正仿宋_GBK" w:cs="Times New Roman"/>
                <w:sz w:val="21"/>
                <w:szCs w:val="21"/>
              </w:rPr>
              <w:t>针对本项目的实施方案进行评审</w:t>
            </w:r>
            <w:r>
              <w:rPr>
                <w:rFonts w:hint="eastAsia" w:ascii="Times New Roman" w:hAnsi="Times New Roman" w:eastAsia="方正仿宋_GBK" w:cs="Times New Roman"/>
                <w:sz w:val="21"/>
                <w:szCs w:val="21"/>
              </w:rPr>
              <w:t>（包括但不限于实施计划、进度安排、预期成果等）</w:t>
            </w:r>
            <w:r>
              <w:rPr>
                <w:rFonts w:ascii="Times New Roman" w:hAnsi="Times New Roman" w:eastAsia="方正仿宋_GBK" w:cs="Times New Roman"/>
                <w:sz w:val="21"/>
                <w:szCs w:val="21"/>
              </w:rPr>
              <w:t>：</w:t>
            </w:r>
          </w:p>
          <w:p w14:paraId="3EA1C4D6">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rPr>
            </w:pPr>
            <w:r>
              <w:rPr>
                <w:rFonts w:ascii="Times New Roman" w:hAnsi="Times New Roman" w:eastAsia="方正仿宋_GBK" w:cs="Times New Roman"/>
                <w:sz w:val="21"/>
                <w:szCs w:val="21"/>
              </w:rPr>
              <w:t>项目实施方案</w:t>
            </w:r>
            <w:r>
              <w:rPr>
                <w:rFonts w:hint="eastAsia" w:eastAsia="方正仿宋_GBK" w:cs="Times New Roman"/>
                <w:sz w:val="21"/>
                <w:szCs w:val="21"/>
                <w:lang w:eastAsia="zh-CN"/>
              </w:rPr>
              <w:t>完整详细、科学合理、可行性强，人员安排、工作部署符合采购人工作要求，响应情况满足或优于采购文件要求的，得</w:t>
            </w:r>
            <w:r>
              <w:rPr>
                <w:rFonts w:hint="eastAsia" w:eastAsia="方正仿宋_GBK" w:cs="Times New Roman"/>
                <w:sz w:val="21"/>
                <w:szCs w:val="21"/>
                <w:lang w:val="en-US" w:eastAsia="zh-CN"/>
              </w:rPr>
              <w:t>20分；</w:t>
            </w:r>
          </w:p>
          <w:p w14:paraId="2AA6D0A5">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rPr>
            </w:pPr>
            <w:r>
              <w:rPr>
                <w:rFonts w:hint="eastAsia" w:eastAsia="方正仿宋_GBK" w:cs="Times New Roman"/>
                <w:sz w:val="21"/>
                <w:szCs w:val="21"/>
                <w:lang w:eastAsia="zh-CN"/>
              </w:rPr>
              <w:t>项目实施方案详细、合理、具有一定的可行性，人员安排、工作部署大部分符合采购人工作要求，响应情况大部分能满足采购文件要求的，得15分；</w:t>
            </w:r>
          </w:p>
          <w:p w14:paraId="4911802C">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rPr>
            </w:pPr>
            <w:r>
              <w:rPr>
                <w:rFonts w:hint="eastAsia" w:eastAsia="方正仿宋_GBK" w:cs="Times New Roman"/>
                <w:sz w:val="21"/>
                <w:szCs w:val="21"/>
                <w:lang w:eastAsia="zh-CN"/>
              </w:rPr>
              <w:t>项目实施方案完整，但可行性不足，人员安排、工作部署不足，响应情况部分能满足采购文件要求，得10分；</w:t>
            </w:r>
          </w:p>
          <w:p w14:paraId="2CA24FE2">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rPr>
            </w:pPr>
            <w:r>
              <w:rPr>
                <w:rFonts w:hint="eastAsia" w:eastAsia="方正仿宋_GBK" w:cs="Times New Roman"/>
                <w:sz w:val="21"/>
                <w:szCs w:val="21"/>
                <w:lang w:eastAsia="zh-CN"/>
              </w:rPr>
              <w:t>项目实施方案不详细，人员安排、工作部署不合理，不符合采购人工作要求，响应情况不能满足采购文件要求，得5分；</w:t>
            </w:r>
          </w:p>
          <w:p w14:paraId="524FB569">
            <w:pPr>
              <w:keepNext w:val="0"/>
              <w:keepLines w:val="0"/>
              <w:pageBreakBefore w:val="0"/>
              <w:widowControl w:val="0"/>
              <w:numPr>
                <w:ilvl w:val="0"/>
                <w:numId w:val="1"/>
              </w:numPr>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rPr>
            </w:pPr>
            <w:r>
              <w:rPr>
                <w:rFonts w:hint="eastAsia" w:eastAsia="方正仿宋_GBK" w:cs="Times New Roman"/>
                <w:sz w:val="21"/>
                <w:szCs w:val="21"/>
                <w:lang w:val="en-US" w:eastAsia="zh-CN"/>
              </w:rPr>
              <w:t>未提交响应内容或其他情况，不得分。</w:t>
            </w:r>
          </w:p>
        </w:tc>
        <w:tc>
          <w:tcPr>
            <w:tcW w:w="1222" w:type="dxa"/>
            <w:tcBorders>
              <w:top w:val="single" w:color="auto" w:sz="6" w:space="0"/>
              <w:left w:val="single" w:color="auto" w:sz="6" w:space="0"/>
              <w:bottom w:val="single" w:color="auto" w:sz="6" w:space="0"/>
              <w:right w:val="single" w:color="auto" w:sz="6" w:space="0"/>
            </w:tcBorders>
            <w:noWrap w:val="0"/>
            <w:vAlign w:val="center"/>
          </w:tcPr>
          <w:p w14:paraId="35F9507B">
            <w:pPr>
              <w:autoSpaceDE w:val="0"/>
              <w:autoSpaceDN w:val="0"/>
              <w:adjustRightInd w:val="0"/>
              <w:snapToGrid w:val="0"/>
              <w:spacing w:line="200" w:lineRule="exact"/>
              <w:jc w:val="center"/>
              <w:rPr>
                <w:rFonts w:hint="default" w:ascii="Times New Roman" w:hAnsi="Times New Roman" w:eastAsia="方正仿宋_GBK" w:cs="Times New Roman"/>
                <w:bCs/>
                <w:kern w:val="0"/>
                <w:sz w:val="21"/>
                <w:szCs w:val="21"/>
                <w:lang w:val="en-US" w:eastAsia="zh-CN"/>
              </w:rPr>
            </w:pPr>
            <w:r>
              <w:rPr>
                <w:rFonts w:hint="eastAsia" w:eastAsia="方正仿宋_GBK" w:cs="Times New Roman"/>
                <w:bCs/>
                <w:kern w:val="0"/>
                <w:sz w:val="21"/>
                <w:szCs w:val="21"/>
                <w:lang w:val="en-US" w:eastAsia="zh-CN"/>
              </w:rPr>
              <w:t>20</w:t>
            </w:r>
          </w:p>
        </w:tc>
        <w:tc>
          <w:tcPr>
            <w:tcW w:w="1334" w:type="dxa"/>
            <w:tcBorders>
              <w:top w:val="single" w:color="auto" w:sz="6" w:space="0"/>
              <w:left w:val="single" w:color="auto" w:sz="6" w:space="0"/>
              <w:bottom w:val="single" w:color="auto" w:sz="6" w:space="0"/>
              <w:right w:val="single" w:color="auto" w:sz="6" w:space="0"/>
            </w:tcBorders>
            <w:noWrap w:val="0"/>
            <w:vAlign w:val="top"/>
          </w:tcPr>
          <w:p w14:paraId="250B7F33">
            <w:pPr>
              <w:autoSpaceDE w:val="0"/>
              <w:autoSpaceDN w:val="0"/>
              <w:adjustRightInd w:val="0"/>
              <w:snapToGrid w:val="0"/>
              <w:spacing w:line="200" w:lineRule="exact"/>
              <w:jc w:val="center"/>
              <w:rPr>
                <w:rFonts w:ascii="Times New Roman" w:hAnsi="Times New Roman" w:eastAsia="方正仿宋_GBK" w:cs="Times New Roman"/>
                <w:kern w:val="0"/>
                <w:sz w:val="21"/>
                <w:szCs w:val="21"/>
              </w:rPr>
            </w:pPr>
          </w:p>
        </w:tc>
        <w:tc>
          <w:tcPr>
            <w:tcW w:w="1591" w:type="dxa"/>
            <w:tcBorders>
              <w:top w:val="single" w:color="auto" w:sz="6" w:space="0"/>
              <w:left w:val="single" w:color="auto" w:sz="6" w:space="0"/>
              <w:bottom w:val="single" w:color="auto" w:sz="6" w:space="0"/>
            </w:tcBorders>
            <w:noWrap w:val="0"/>
            <w:vAlign w:val="top"/>
          </w:tcPr>
          <w:p w14:paraId="795C01F6">
            <w:pPr>
              <w:autoSpaceDE w:val="0"/>
              <w:autoSpaceDN w:val="0"/>
              <w:adjustRightInd w:val="0"/>
              <w:snapToGrid w:val="0"/>
              <w:spacing w:line="200" w:lineRule="exact"/>
              <w:jc w:val="center"/>
              <w:rPr>
                <w:rFonts w:ascii="Times New Roman" w:hAnsi="Times New Roman" w:eastAsia="方正仿宋_GBK" w:cs="Times New Roman"/>
                <w:kern w:val="0"/>
                <w:sz w:val="21"/>
                <w:szCs w:val="21"/>
              </w:rPr>
            </w:pPr>
          </w:p>
        </w:tc>
      </w:tr>
      <w:tr w14:paraId="135EC8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07" w:hRule="atLeast"/>
          <w:jc w:val="center"/>
        </w:trPr>
        <w:tc>
          <w:tcPr>
            <w:tcW w:w="758" w:type="dxa"/>
            <w:tcBorders>
              <w:top w:val="single" w:color="auto" w:sz="6" w:space="0"/>
              <w:bottom w:val="single" w:color="auto" w:sz="6" w:space="0"/>
              <w:right w:val="single" w:color="auto" w:sz="6" w:space="0"/>
            </w:tcBorders>
            <w:noWrap w:val="0"/>
            <w:vAlign w:val="center"/>
          </w:tcPr>
          <w:p w14:paraId="0E411E2C">
            <w:pPr>
              <w:numPr>
                <w:ilvl w:val="0"/>
                <w:numId w:val="0"/>
              </w:numPr>
              <w:suppressAutoHyphens/>
              <w:autoSpaceDE w:val="0"/>
              <w:autoSpaceDN w:val="0"/>
              <w:adjustRightInd w:val="0"/>
              <w:snapToGrid w:val="0"/>
              <w:spacing w:line="200" w:lineRule="exact"/>
              <w:ind w:left="0" w:leftChars="0" w:firstLine="0" w:firstLineChars="0"/>
              <w:jc w:val="both"/>
              <w:rPr>
                <w:rFonts w:hint="eastAsia" w:eastAsia="方正仿宋_GBK" w:cs="Times New Roman"/>
                <w:bCs/>
                <w:sz w:val="21"/>
                <w:szCs w:val="21"/>
                <w:lang w:eastAsia="zh-CN"/>
              </w:rPr>
            </w:pPr>
            <w:r>
              <w:rPr>
                <w:rFonts w:hint="eastAsia" w:eastAsia="方正仿宋_GBK" w:cs="Times New Roman"/>
                <w:bCs/>
                <w:sz w:val="21"/>
                <w:szCs w:val="21"/>
                <w:lang w:eastAsia="zh-CN"/>
              </w:rPr>
              <w:t>（二）</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0B8E7F4E">
            <w:pPr>
              <w:jc w:val="center"/>
              <w:rPr>
                <w:rFonts w:hint="eastAsia" w:ascii="Times New Roman" w:hAnsi="Times New Roman" w:eastAsia="方正仿宋_GBK" w:cs="Times New Roman"/>
                <w:sz w:val="21"/>
                <w:szCs w:val="21"/>
                <w:lang w:eastAsia="zh-CN"/>
              </w:rPr>
            </w:pPr>
            <w:r>
              <w:rPr>
                <w:rFonts w:hint="eastAsia" w:eastAsia="方正仿宋_GBK" w:cs="Times New Roman"/>
                <w:sz w:val="21"/>
                <w:szCs w:val="21"/>
                <w:lang w:eastAsia="zh-CN"/>
              </w:rPr>
              <w:t>技术路线和要点</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4B00A6E0">
            <w:pPr>
              <w:keepNext w:val="0"/>
              <w:keepLines w:val="0"/>
              <w:pageBreakBefore w:val="0"/>
              <w:widowControl w:val="0"/>
              <w:kinsoku/>
              <w:wordWrap/>
              <w:overflowPunct/>
              <w:topLinePunct w:val="0"/>
              <w:autoSpaceDE/>
              <w:autoSpaceDN/>
              <w:bidi w:val="0"/>
              <w:adjustRightInd w:val="0"/>
              <w:snapToGrid w:val="0"/>
              <w:textAlignment w:val="auto"/>
              <w:rPr>
                <w:rFonts w:hint="eastAsia" w:eastAsia="方正仿宋_GBK" w:cs="Times New Roman"/>
                <w:sz w:val="21"/>
                <w:szCs w:val="21"/>
                <w:lang w:eastAsia="zh-CN"/>
              </w:rPr>
            </w:pPr>
            <w:r>
              <w:rPr>
                <w:rFonts w:hint="eastAsia" w:eastAsia="方正仿宋_GBK" w:cs="Times New Roman"/>
                <w:sz w:val="21"/>
                <w:szCs w:val="21"/>
                <w:lang w:eastAsia="zh-CN"/>
              </w:rPr>
              <w:t>根据供应商提供的针对本项目的重点行业（发电、造纸、钢铁、水泥、陶瓷、数据中心）碳排放相关技术路线、工作要点等内容进行评审：</w:t>
            </w:r>
          </w:p>
          <w:p w14:paraId="50DEA080">
            <w:pPr>
              <w:keepNext w:val="0"/>
              <w:keepLines w:val="0"/>
              <w:pageBreakBefore w:val="0"/>
              <w:widowControl w:val="0"/>
              <w:numPr>
                <w:ilvl w:val="0"/>
                <w:numId w:val="2"/>
              </w:numPr>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rPr>
            </w:pPr>
            <w:r>
              <w:rPr>
                <w:rFonts w:hint="eastAsia" w:eastAsia="方正仿宋_GBK" w:cs="Times New Roman"/>
                <w:sz w:val="21"/>
                <w:szCs w:val="21"/>
                <w:lang w:eastAsia="zh-CN"/>
              </w:rPr>
              <w:t>重点行业生产工艺及特点，技术路线和工作要点描述清晰、科学合理，切实可行的，得</w:t>
            </w:r>
            <w:r>
              <w:rPr>
                <w:rFonts w:hint="eastAsia" w:eastAsia="方正仿宋_GBK" w:cs="Times New Roman"/>
                <w:sz w:val="21"/>
                <w:szCs w:val="21"/>
                <w:lang w:val="en-US" w:eastAsia="zh-CN"/>
              </w:rPr>
              <w:t>15分；</w:t>
            </w:r>
          </w:p>
          <w:p w14:paraId="2C23A489">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rPr>
            </w:pPr>
            <w:r>
              <w:rPr>
                <w:rFonts w:hint="eastAsia" w:eastAsia="方正仿宋_GBK" w:cs="Times New Roman"/>
                <w:sz w:val="21"/>
                <w:szCs w:val="21"/>
                <w:lang w:eastAsia="zh-CN"/>
              </w:rPr>
              <w:t>（</w:t>
            </w:r>
            <w:r>
              <w:rPr>
                <w:rFonts w:hint="eastAsia" w:eastAsia="方正仿宋_GBK" w:cs="Times New Roman"/>
                <w:sz w:val="21"/>
                <w:szCs w:val="21"/>
                <w:lang w:val="en-US" w:eastAsia="zh-CN"/>
              </w:rPr>
              <w:t>2</w:t>
            </w:r>
            <w:r>
              <w:rPr>
                <w:rFonts w:hint="eastAsia" w:eastAsia="方正仿宋_GBK" w:cs="Times New Roman"/>
                <w:sz w:val="21"/>
                <w:szCs w:val="21"/>
                <w:lang w:eastAsia="zh-CN"/>
              </w:rPr>
              <w:t>）重点行业生产工艺及特点，技术路线和工作要点描述较清晰，各项内容较完整，方案较合理，具有一定可行性的，得</w:t>
            </w:r>
            <w:r>
              <w:rPr>
                <w:rFonts w:hint="eastAsia" w:eastAsia="方正仿宋_GBK" w:cs="Times New Roman"/>
                <w:sz w:val="21"/>
                <w:szCs w:val="21"/>
                <w:lang w:val="en-US" w:eastAsia="zh-CN"/>
              </w:rPr>
              <w:t>10分；</w:t>
            </w:r>
          </w:p>
          <w:p w14:paraId="61C7A44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eastAsia="方正仿宋_GBK" w:cs="Times New Roman"/>
                <w:sz w:val="21"/>
                <w:szCs w:val="21"/>
                <w:lang w:val="en-US" w:eastAsia="zh-CN"/>
              </w:rPr>
            </w:pPr>
            <w:r>
              <w:rPr>
                <w:rFonts w:hint="eastAsia" w:eastAsia="方正仿宋_GBK" w:cs="Times New Roman"/>
                <w:sz w:val="21"/>
                <w:szCs w:val="21"/>
                <w:lang w:eastAsia="zh-CN"/>
              </w:rPr>
              <w:t>（</w:t>
            </w:r>
            <w:r>
              <w:rPr>
                <w:rFonts w:hint="eastAsia" w:eastAsia="方正仿宋_GBK" w:cs="Times New Roman"/>
                <w:sz w:val="21"/>
                <w:szCs w:val="21"/>
                <w:lang w:val="en-US" w:eastAsia="zh-CN"/>
              </w:rPr>
              <w:t>3</w:t>
            </w:r>
            <w:r>
              <w:rPr>
                <w:rFonts w:hint="eastAsia" w:eastAsia="方正仿宋_GBK" w:cs="Times New Roman"/>
                <w:sz w:val="21"/>
                <w:szCs w:val="21"/>
                <w:lang w:eastAsia="zh-CN"/>
              </w:rPr>
              <w:t>）重点行业生产工艺及特点，技术路线和工作要点描述不清晰，内容不完整，科学性、可行性不足的，得</w:t>
            </w:r>
            <w:r>
              <w:rPr>
                <w:rFonts w:hint="eastAsia" w:eastAsia="方正仿宋_GBK" w:cs="Times New Roman"/>
                <w:sz w:val="21"/>
                <w:szCs w:val="21"/>
                <w:lang w:val="en-US" w:eastAsia="zh-CN"/>
              </w:rPr>
              <w:t>5分；</w:t>
            </w:r>
          </w:p>
          <w:p w14:paraId="11DFB26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eastAsia="方正仿宋_GBK" w:cs="Times New Roman"/>
                <w:sz w:val="21"/>
                <w:szCs w:val="21"/>
                <w:lang w:val="en-US" w:eastAsia="zh-CN"/>
              </w:rPr>
            </w:pPr>
            <w:r>
              <w:rPr>
                <w:rFonts w:hint="eastAsia" w:eastAsia="方正仿宋_GBK" w:cs="Times New Roman"/>
                <w:sz w:val="21"/>
                <w:szCs w:val="21"/>
                <w:lang w:val="en-US" w:eastAsia="zh-CN"/>
              </w:rPr>
              <w:t>（4）未提交响应内容或其他情况，不得分。</w:t>
            </w:r>
          </w:p>
        </w:tc>
        <w:tc>
          <w:tcPr>
            <w:tcW w:w="1222" w:type="dxa"/>
            <w:tcBorders>
              <w:top w:val="single" w:color="auto" w:sz="6" w:space="0"/>
              <w:left w:val="single" w:color="auto" w:sz="6" w:space="0"/>
              <w:bottom w:val="single" w:color="auto" w:sz="6" w:space="0"/>
              <w:right w:val="single" w:color="auto" w:sz="6" w:space="0"/>
            </w:tcBorders>
            <w:noWrap w:val="0"/>
            <w:vAlign w:val="center"/>
          </w:tcPr>
          <w:p w14:paraId="7F2BC061">
            <w:pPr>
              <w:autoSpaceDE w:val="0"/>
              <w:autoSpaceDN w:val="0"/>
              <w:adjustRightInd w:val="0"/>
              <w:snapToGrid w:val="0"/>
              <w:spacing w:line="200" w:lineRule="exact"/>
              <w:jc w:val="center"/>
              <w:rPr>
                <w:rFonts w:hint="default" w:ascii="Times New Roman" w:hAnsi="Times New Roman" w:eastAsia="方正仿宋_GBK" w:cs="Times New Roman"/>
                <w:bCs/>
                <w:kern w:val="0"/>
                <w:sz w:val="21"/>
                <w:szCs w:val="21"/>
                <w:lang w:val="en-US" w:eastAsia="zh-CN"/>
              </w:rPr>
            </w:pPr>
            <w:r>
              <w:rPr>
                <w:rFonts w:hint="eastAsia" w:eastAsia="方正仿宋_GBK" w:cs="Times New Roman"/>
                <w:bCs/>
                <w:kern w:val="0"/>
                <w:sz w:val="21"/>
                <w:szCs w:val="21"/>
                <w:lang w:val="en-US" w:eastAsia="zh-CN"/>
              </w:rPr>
              <w:t>15</w:t>
            </w:r>
          </w:p>
        </w:tc>
        <w:tc>
          <w:tcPr>
            <w:tcW w:w="1334" w:type="dxa"/>
            <w:tcBorders>
              <w:top w:val="single" w:color="auto" w:sz="6" w:space="0"/>
              <w:left w:val="single" w:color="auto" w:sz="6" w:space="0"/>
              <w:bottom w:val="single" w:color="auto" w:sz="6" w:space="0"/>
              <w:right w:val="single" w:color="auto" w:sz="6" w:space="0"/>
            </w:tcBorders>
            <w:noWrap w:val="0"/>
            <w:vAlign w:val="top"/>
          </w:tcPr>
          <w:p w14:paraId="5EE5AE01">
            <w:pPr>
              <w:autoSpaceDE w:val="0"/>
              <w:autoSpaceDN w:val="0"/>
              <w:adjustRightInd w:val="0"/>
              <w:snapToGrid w:val="0"/>
              <w:spacing w:line="200" w:lineRule="exact"/>
              <w:jc w:val="center"/>
              <w:rPr>
                <w:rFonts w:ascii="Times New Roman" w:hAnsi="Times New Roman" w:eastAsia="方正仿宋_GBK" w:cs="Times New Roman"/>
                <w:kern w:val="0"/>
                <w:sz w:val="21"/>
                <w:szCs w:val="21"/>
              </w:rPr>
            </w:pPr>
          </w:p>
        </w:tc>
        <w:tc>
          <w:tcPr>
            <w:tcW w:w="1591" w:type="dxa"/>
            <w:tcBorders>
              <w:top w:val="single" w:color="auto" w:sz="6" w:space="0"/>
              <w:left w:val="single" w:color="auto" w:sz="6" w:space="0"/>
              <w:bottom w:val="single" w:color="auto" w:sz="6" w:space="0"/>
            </w:tcBorders>
            <w:noWrap w:val="0"/>
            <w:vAlign w:val="top"/>
          </w:tcPr>
          <w:p w14:paraId="0AC30AE9">
            <w:pPr>
              <w:autoSpaceDE w:val="0"/>
              <w:autoSpaceDN w:val="0"/>
              <w:adjustRightInd w:val="0"/>
              <w:snapToGrid w:val="0"/>
              <w:spacing w:line="200" w:lineRule="exact"/>
              <w:jc w:val="center"/>
              <w:rPr>
                <w:rFonts w:ascii="Times New Roman" w:hAnsi="Times New Roman" w:eastAsia="方正仿宋_GBK" w:cs="Times New Roman"/>
                <w:kern w:val="0"/>
                <w:sz w:val="21"/>
                <w:szCs w:val="21"/>
              </w:rPr>
            </w:pPr>
          </w:p>
        </w:tc>
      </w:tr>
      <w:tr w14:paraId="5785B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35" w:hRule="atLeast"/>
          <w:jc w:val="center"/>
        </w:trPr>
        <w:tc>
          <w:tcPr>
            <w:tcW w:w="758" w:type="dxa"/>
            <w:tcBorders>
              <w:top w:val="single" w:color="auto" w:sz="6" w:space="0"/>
              <w:bottom w:val="single" w:color="auto" w:sz="6" w:space="0"/>
              <w:right w:val="single" w:color="auto" w:sz="6" w:space="0"/>
            </w:tcBorders>
            <w:noWrap w:val="0"/>
            <w:vAlign w:val="center"/>
          </w:tcPr>
          <w:p w14:paraId="386F24C1">
            <w:pPr>
              <w:numPr>
                <w:ilvl w:val="0"/>
                <w:numId w:val="0"/>
              </w:numPr>
              <w:suppressAutoHyphens/>
              <w:autoSpaceDE w:val="0"/>
              <w:autoSpaceDN w:val="0"/>
              <w:adjustRightInd w:val="0"/>
              <w:snapToGrid w:val="0"/>
              <w:spacing w:line="200" w:lineRule="exact"/>
              <w:ind w:leftChars="0"/>
              <w:jc w:val="both"/>
              <w:rPr>
                <w:rFonts w:hint="eastAsia" w:ascii="Times New Roman" w:hAnsi="Times New Roman" w:eastAsia="方正仿宋_GBK" w:cs="Times New Roman"/>
                <w:bCs/>
                <w:sz w:val="21"/>
                <w:szCs w:val="21"/>
                <w:lang w:eastAsia="zh-CN"/>
              </w:rPr>
            </w:pPr>
            <w:r>
              <w:rPr>
                <w:rFonts w:hint="eastAsia" w:eastAsia="方正仿宋_GBK" w:cs="Times New Roman"/>
                <w:bCs/>
                <w:sz w:val="21"/>
                <w:szCs w:val="21"/>
                <w:lang w:eastAsia="zh-CN"/>
              </w:rPr>
              <w:t>（三）</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5E81C39D">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质量控制措施</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710AC801">
            <w:pPr>
              <w:keepNext w:val="0"/>
              <w:keepLines w:val="0"/>
              <w:pageBreakBefore w:val="0"/>
              <w:widowControl w:val="0"/>
              <w:kinsoku/>
              <w:wordWrap/>
              <w:overflowPunct/>
              <w:topLinePunct w:val="0"/>
              <w:autoSpaceDE/>
              <w:autoSpaceDN/>
              <w:bidi w:val="0"/>
              <w:adjustRightInd w:val="0"/>
              <w:snapToGrid w:val="0"/>
              <w:textAlignment w:val="auto"/>
              <w:rPr>
                <w:rFonts w:hint="eastAsia" w:eastAsia="方正仿宋_GBK" w:cs="Times New Roman"/>
                <w:sz w:val="21"/>
                <w:szCs w:val="21"/>
                <w:lang w:eastAsia="zh-CN"/>
              </w:rPr>
            </w:pPr>
            <w:r>
              <w:rPr>
                <w:rFonts w:hint="eastAsia" w:eastAsia="方正仿宋_GBK" w:cs="Times New Roman"/>
                <w:sz w:val="21"/>
                <w:szCs w:val="21"/>
                <w:lang w:eastAsia="zh-CN"/>
              </w:rPr>
              <w:t>对项目的重点难点问题分析是否准确、应急应对措施是否合理，对核算边界的确认，核算方法和核算数据（包括但不限于活动数据及来源、排放因子、计算系数和来源、温室气体排放量等）把握是否准确，制定确保碳排放数据准确性的质量保证方案。</w:t>
            </w:r>
          </w:p>
          <w:p w14:paraId="04E56AFA">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方正仿宋_GBK" w:cs="Times New Roman"/>
                <w:sz w:val="21"/>
                <w:szCs w:val="21"/>
                <w:lang w:eastAsia="zh-CN"/>
              </w:rPr>
            </w:pPr>
            <w:r>
              <w:rPr>
                <w:rFonts w:ascii="Times New Roman" w:hAnsi="Times New Roman" w:eastAsia="方正仿宋_GBK" w:cs="Times New Roman"/>
                <w:sz w:val="21"/>
                <w:szCs w:val="21"/>
              </w:rPr>
              <w:t>（1）</w:t>
            </w:r>
            <w:r>
              <w:rPr>
                <w:rFonts w:hint="eastAsia" w:eastAsia="方正仿宋_GBK" w:cs="Times New Roman"/>
                <w:sz w:val="21"/>
                <w:szCs w:val="21"/>
                <w:lang w:eastAsia="zh-CN"/>
              </w:rPr>
              <w:t>方案内容完整详细、应急应对措施科学合理，针对性和可操作性强的，</w:t>
            </w:r>
            <w:r>
              <w:rPr>
                <w:rFonts w:ascii="Times New Roman" w:hAnsi="Times New Roman" w:eastAsia="方正仿宋_GBK" w:cs="Times New Roman"/>
                <w:sz w:val="21"/>
                <w:szCs w:val="21"/>
              </w:rPr>
              <w:t>得</w:t>
            </w:r>
            <w:r>
              <w:rPr>
                <w:rFonts w:hint="eastAsia" w:eastAsia="方正仿宋_GBK" w:cs="Times New Roman"/>
                <w:sz w:val="21"/>
                <w:szCs w:val="21"/>
                <w:lang w:val="en-US" w:eastAsia="zh-CN"/>
              </w:rPr>
              <w:t>10</w:t>
            </w:r>
            <w:r>
              <w:rPr>
                <w:rFonts w:ascii="Times New Roman" w:hAnsi="Times New Roman" w:eastAsia="方正仿宋_GBK" w:cs="Times New Roman"/>
                <w:sz w:val="21"/>
                <w:szCs w:val="21"/>
              </w:rPr>
              <w:t>分</w:t>
            </w:r>
            <w:r>
              <w:rPr>
                <w:rFonts w:hint="eastAsia" w:eastAsia="方正仿宋_GBK" w:cs="Times New Roman"/>
                <w:sz w:val="21"/>
                <w:szCs w:val="21"/>
                <w:lang w:eastAsia="zh-CN"/>
              </w:rPr>
              <w:t>；</w:t>
            </w:r>
          </w:p>
          <w:p w14:paraId="3D47DCE1">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sz w:val="21"/>
                <w:szCs w:val="21"/>
                <w:lang w:val="en-US" w:eastAsia="zh-CN"/>
              </w:rPr>
            </w:pPr>
            <w:r>
              <w:rPr>
                <w:rFonts w:ascii="Times New Roman" w:hAnsi="Times New Roman" w:eastAsia="方正仿宋_GBK" w:cs="Times New Roman"/>
                <w:sz w:val="21"/>
                <w:szCs w:val="21"/>
              </w:rPr>
              <w:t>（2）</w:t>
            </w:r>
            <w:r>
              <w:rPr>
                <w:rFonts w:hint="eastAsia" w:eastAsia="方正仿宋_GBK" w:cs="Times New Roman"/>
                <w:sz w:val="21"/>
                <w:szCs w:val="21"/>
                <w:lang w:eastAsia="zh-CN"/>
              </w:rPr>
              <w:t>方案内容详细，应急应对措施合理，有一定的针对性和可操作性的，得</w:t>
            </w:r>
            <w:r>
              <w:rPr>
                <w:rFonts w:hint="eastAsia" w:eastAsia="方正仿宋_GBK" w:cs="Times New Roman"/>
                <w:sz w:val="21"/>
                <w:szCs w:val="21"/>
                <w:lang w:val="en-US" w:eastAsia="zh-CN"/>
              </w:rPr>
              <w:t>6分；</w:t>
            </w:r>
          </w:p>
          <w:p w14:paraId="7A370FD2">
            <w:pPr>
              <w:keepNext w:val="0"/>
              <w:keepLines w:val="0"/>
              <w:pageBreakBefore w:val="0"/>
              <w:widowControl w:val="0"/>
              <w:kinsoku/>
              <w:wordWrap/>
              <w:overflowPunct/>
              <w:topLinePunct w:val="0"/>
              <w:autoSpaceDE/>
              <w:autoSpaceDN/>
              <w:bidi w:val="0"/>
              <w:adjustRightInd w:val="0"/>
              <w:snapToGrid w:val="0"/>
              <w:textAlignment w:val="auto"/>
              <w:rPr>
                <w:rFonts w:hint="eastAsia" w:ascii="Times New Roman" w:hAnsi="Times New Roman" w:eastAsia="方正仿宋_GBK" w:cs="Times New Roman"/>
                <w:sz w:val="21"/>
                <w:szCs w:val="21"/>
                <w:lang w:eastAsia="zh-CN"/>
              </w:rPr>
            </w:pPr>
            <w:r>
              <w:rPr>
                <w:rFonts w:ascii="Times New Roman" w:hAnsi="Times New Roman" w:eastAsia="方正仿宋_GBK" w:cs="Times New Roman"/>
                <w:sz w:val="21"/>
                <w:szCs w:val="21"/>
              </w:rPr>
              <w:t>（3）</w:t>
            </w:r>
            <w:r>
              <w:rPr>
                <w:rFonts w:hint="eastAsia" w:eastAsia="方正仿宋_GBK" w:cs="Times New Roman"/>
                <w:sz w:val="21"/>
                <w:szCs w:val="21"/>
                <w:lang w:eastAsia="zh-CN"/>
              </w:rPr>
              <w:t>方案内容不完整，应急应对措施不完善，针对性和可操作性不足的，</w:t>
            </w:r>
            <w:r>
              <w:rPr>
                <w:rFonts w:ascii="Times New Roman" w:hAnsi="Times New Roman" w:eastAsia="方正仿宋_GBK" w:cs="Times New Roman"/>
                <w:sz w:val="21"/>
                <w:szCs w:val="21"/>
              </w:rPr>
              <w:t>得</w:t>
            </w:r>
            <w:r>
              <w:rPr>
                <w:rFonts w:hint="eastAsia" w:eastAsia="方正仿宋_GBK" w:cs="Times New Roman"/>
                <w:sz w:val="21"/>
                <w:szCs w:val="21"/>
                <w:lang w:val="en-US" w:eastAsia="zh-CN"/>
              </w:rPr>
              <w:t>2</w:t>
            </w:r>
            <w:r>
              <w:rPr>
                <w:rFonts w:ascii="Times New Roman" w:hAnsi="Times New Roman" w:eastAsia="方正仿宋_GBK" w:cs="Times New Roman"/>
                <w:sz w:val="21"/>
                <w:szCs w:val="21"/>
              </w:rPr>
              <w:t>分</w:t>
            </w:r>
            <w:r>
              <w:rPr>
                <w:rFonts w:hint="eastAsia" w:eastAsia="方正仿宋_GBK" w:cs="Times New Roman"/>
                <w:sz w:val="21"/>
                <w:szCs w:val="21"/>
                <w:lang w:eastAsia="zh-CN"/>
              </w:rPr>
              <w:t>；</w:t>
            </w:r>
          </w:p>
          <w:p w14:paraId="28E4FAD3">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方正仿宋_GBK" w:cs="Times New Roman"/>
                <w:sz w:val="21"/>
                <w:szCs w:val="21"/>
              </w:rPr>
            </w:pPr>
            <w:r>
              <w:rPr>
                <w:rFonts w:ascii="Times New Roman" w:hAnsi="Times New Roman" w:eastAsia="方正仿宋_GBK" w:cs="Times New Roman"/>
                <w:sz w:val="21"/>
                <w:szCs w:val="21"/>
              </w:rPr>
              <w:t>（4）未提供项目质量保障方案的，不得分。</w:t>
            </w:r>
          </w:p>
        </w:tc>
        <w:tc>
          <w:tcPr>
            <w:tcW w:w="1222" w:type="dxa"/>
            <w:tcBorders>
              <w:top w:val="single" w:color="auto" w:sz="6" w:space="0"/>
              <w:left w:val="single" w:color="auto" w:sz="6" w:space="0"/>
              <w:bottom w:val="single" w:color="auto" w:sz="6" w:space="0"/>
              <w:right w:val="single" w:color="auto" w:sz="6" w:space="0"/>
            </w:tcBorders>
            <w:noWrap w:val="0"/>
            <w:vAlign w:val="center"/>
          </w:tcPr>
          <w:p w14:paraId="00667875">
            <w:pPr>
              <w:autoSpaceDE w:val="0"/>
              <w:autoSpaceDN w:val="0"/>
              <w:adjustRightInd w:val="0"/>
              <w:snapToGrid w:val="0"/>
              <w:spacing w:line="200" w:lineRule="exact"/>
              <w:jc w:val="center"/>
              <w:rPr>
                <w:rFonts w:hint="default" w:ascii="Times New Roman" w:hAnsi="Times New Roman" w:eastAsia="方正仿宋_GBK" w:cs="Times New Roman"/>
                <w:bCs/>
                <w:kern w:val="0"/>
                <w:sz w:val="21"/>
                <w:szCs w:val="21"/>
                <w:lang w:val="en-US" w:eastAsia="zh-CN"/>
              </w:rPr>
            </w:pPr>
            <w:r>
              <w:rPr>
                <w:rFonts w:hint="eastAsia" w:eastAsia="方正仿宋_GBK" w:cs="Times New Roman"/>
                <w:bCs/>
                <w:kern w:val="0"/>
                <w:sz w:val="21"/>
                <w:szCs w:val="21"/>
                <w:lang w:val="en-US" w:eastAsia="zh-CN"/>
              </w:rPr>
              <w:t>10</w:t>
            </w:r>
          </w:p>
        </w:tc>
        <w:tc>
          <w:tcPr>
            <w:tcW w:w="1334" w:type="dxa"/>
            <w:tcBorders>
              <w:top w:val="single" w:color="auto" w:sz="6" w:space="0"/>
              <w:left w:val="single" w:color="auto" w:sz="6" w:space="0"/>
              <w:bottom w:val="single" w:color="auto" w:sz="6" w:space="0"/>
              <w:right w:val="single" w:color="auto" w:sz="6" w:space="0"/>
            </w:tcBorders>
            <w:noWrap w:val="0"/>
            <w:vAlign w:val="top"/>
          </w:tcPr>
          <w:p w14:paraId="52AF051D">
            <w:pPr>
              <w:autoSpaceDE w:val="0"/>
              <w:autoSpaceDN w:val="0"/>
              <w:adjustRightInd w:val="0"/>
              <w:snapToGrid w:val="0"/>
              <w:spacing w:line="200" w:lineRule="exact"/>
              <w:jc w:val="center"/>
              <w:rPr>
                <w:rFonts w:ascii="Times New Roman" w:hAnsi="Times New Roman" w:eastAsia="方正仿宋_GBK" w:cs="Times New Roman"/>
                <w:kern w:val="0"/>
                <w:sz w:val="21"/>
                <w:szCs w:val="21"/>
              </w:rPr>
            </w:pPr>
          </w:p>
        </w:tc>
        <w:tc>
          <w:tcPr>
            <w:tcW w:w="1591" w:type="dxa"/>
            <w:tcBorders>
              <w:top w:val="single" w:color="auto" w:sz="6" w:space="0"/>
              <w:left w:val="single" w:color="auto" w:sz="6" w:space="0"/>
              <w:bottom w:val="single" w:color="auto" w:sz="6" w:space="0"/>
            </w:tcBorders>
            <w:noWrap w:val="0"/>
            <w:vAlign w:val="top"/>
          </w:tcPr>
          <w:p w14:paraId="675EDA33">
            <w:pPr>
              <w:autoSpaceDE w:val="0"/>
              <w:autoSpaceDN w:val="0"/>
              <w:adjustRightInd w:val="0"/>
              <w:snapToGrid w:val="0"/>
              <w:spacing w:line="200" w:lineRule="exact"/>
              <w:jc w:val="center"/>
              <w:rPr>
                <w:rFonts w:ascii="Times New Roman" w:hAnsi="Times New Roman" w:eastAsia="方正仿宋_GBK" w:cs="Times New Roman"/>
                <w:kern w:val="0"/>
                <w:sz w:val="21"/>
                <w:szCs w:val="21"/>
              </w:rPr>
            </w:pPr>
          </w:p>
        </w:tc>
      </w:tr>
      <w:tr w14:paraId="313286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3645" w:type="dxa"/>
            <w:gridSpan w:val="6"/>
            <w:tcBorders>
              <w:top w:val="single" w:color="auto" w:sz="6" w:space="0"/>
              <w:bottom w:val="single" w:color="auto" w:sz="6" w:space="0"/>
            </w:tcBorders>
            <w:noWrap w:val="0"/>
            <w:vAlign w:val="center"/>
          </w:tcPr>
          <w:p w14:paraId="0B7F83B0">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auto"/>
              <w:rPr>
                <w:rFonts w:ascii="Times New Roman" w:hAnsi="Times New Roman" w:eastAsia="方正仿宋_GBK" w:cs="Times New Roman"/>
                <w:kern w:val="0"/>
                <w:sz w:val="21"/>
                <w:szCs w:val="21"/>
              </w:rPr>
            </w:pPr>
            <w:r>
              <w:rPr>
                <w:rFonts w:hint="default" w:ascii="Times New Roman" w:hAnsi="Times New Roman" w:eastAsia="国标黑体" w:cs="Times New Roman"/>
                <w:kern w:val="0"/>
                <w:sz w:val="22"/>
                <w:szCs w:val="22"/>
                <w:lang w:eastAsia="zh-CN"/>
              </w:rPr>
              <w:t>二、商务部分（</w:t>
            </w:r>
            <w:r>
              <w:rPr>
                <w:rFonts w:hint="default" w:ascii="Times New Roman" w:hAnsi="Times New Roman" w:eastAsia="国标黑体" w:cs="Times New Roman"/>
                <w:kern w:val="0"/>
                <w:sz w:val="22"/>
                <w:szCs w:val="22"/>
                <w:lang w:val="en-US" w:eastAsia="zh-CN"/>
              </w:rPr>
              <w:t>40分</w:t>
            </w:r>
            <w:r>
              <w:rPr>
                <w:rFonts w:hint="default" w:ascii="Times New Roman" w:hAnsi="Times New Roman" w:eastAsia="国标黑体" w:cs="Times New Roman"/>
                <w:kern w:val="0"/>
                <w:sz w:val="22"/>
                <w:szCs w:val="22"/>
                <w:lang w:eastAsia="zh-CN"/>
              </w:rPr>
              <w:t>）</w:t>
            </w:r>
          </w:p>
        </w:tc>
      </w:tr>
      <w:tr w14:paraId="5E45BE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83" w:hRule="atLeast"/>
          <w:jc w:val="center"/>
        </w:trPr>
        <w:tc>
          <w:tcPr>
            <w:tcW w:w="758" w:type="dxa"/>
            <w:tcBorders>
              <w:top w:val="single" w:color="auto" w:sz="6" w:space="0"/>
              <w:bottom w:val="single" w:color="auto" w:sz="6" w:space="0"/>
              <w:right w:val="single" w:color="auto" w:sz="6" w:space="0"/>
            </w:tcBorders>
            <w:noWrap w:val="0"/>
            <w:vAlign w:val="center"/>
          </w:tcPr>
          <w:p w14:paraId="41666414">
            <w:pPr>
              <w:numPr>
                <w:ilvl w:val="0"/>
                <w:numId w:val="0"/>
              </w:numPr>
              <w:suppressAutoHyphens/>
              <w:autoSpaceDE w:val="0"/>
              <w:autoSpaceDN w:val="0"/>
              <w:adjustRightInd w:val="0"/>
              <w:snapToGrid w:val="0"/>
              <w:spacing w:line="200" w:lineRule="exact"/>
              <w:jc w:val="left"/>
              <w:rPr>
                <w:rFonts w:hint="eastAsia" w:ascii="Times New Roman" w:hAnsi="Times New Roman" w:eastAsia="方正仿宋_GBK" w:cs="Times New Roman"/>
                <w:bCs/>
                <w:sz w:val="21"/>
                <w:szCs w:val="21"/>
                <w:lang w:eastAsia="zh-CN"/>
              </w:rPr>
            </w:pPr>
            <w:r>
              <w:rPr>
                <w:rFonts w:hint="eastAsia" w:eastAsia="方正仿宋_GBK" w:cs="Times New Roman"/>
                <w:bCs/>
                <w:sz w:val="21"/>
                <w:szCs w:val="21"/>
                <w:lang w:eastAsia="zh-CN"/>
              </w:rPr>
              <w:t>（一）</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2332080D">
            <w:pPr>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业绩情况</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37AFF0E5">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rPr>
            </w:pPr>
            <w:r>
              <w:rPr>
                <w:rFonts w:ascii="Times New Roman" w:hAnsi="Times New Roman" w:eastAsia="方正仿宋_GBK" w:cs="Times New Roman"/>
                <w:sz w:val="21"/>
                <w:szCs w:val="21"/>
              </w:rPr>
              <w:t>投标人提供自2021年至今的</w:t>
            </w:r>
            <w:r>
              <w:rPr>
                <w:rFonts w:hint="eastAsia" w:eastAsia="方正仿宋_GBK" w:cs="Times New Roman"/>
                <w:sz w:val="21"/>
                <w:szCs w:val="21"/>
                <w:lang w:eastAsia="zh-CN"/>
              </w:rPr>
              <w:t>纳入碳排放权交易市场企业碳排放核查（复查）、碳排放数据质量监管及温室气体减排等同类型</w:t>
            </w:r>
            <w:r>
              <w:rPr>
                <w:rFonts w:ascii="Times New Roman" w:hAnsi="Times New Roman" w:eastAsia="方正仿宋_GBK" w:cs="Times New Roman"/>
                <w:sz w:val="21"/>
                <w:szCs w:val="21"/>
              </w:rPr>
              <w:t>项目业绩</w:t>
            </w:r>
            <w:r>
              <w:rPr>
                <w:rFonts w:hint="eastAsia" w:eastAsia="方正仿宋_GBK" w:cs="Times New Roman"/>
                <w:sz w:val="21"/>
                <w:szCs w:val="21"/>
                <w:lang w:eastAsia="zh-CN"/>
              </w:rPr>
              <w:t>，每提供</w:t>
            </w:r>
            <w:r>
              <w:rPr>
                <w:rFonts w:hint="eastAsia" w:eastAsia="方正仿宋_GBK" w:cs="Times New Roman"/>
                <w:sz w:val="21"/>
                <w:szCs w:val="21"/>
                <w:lang w:val="en-US" w:eastAsia="zh-CN"/>
              </w:rPr>
              <w:t>1个得5分，最高不超过20分</w:t>
            </w:r>
            <w:r>
              <w:rPr>
                <w:rFonts w:ascii="Times New Roman" w:hAnsi="Times New Roman" w:eastAsia="方正仿宋_GBK" w:cs="Times New Roman"/>
                <w:sz w:val="21"/>
                <w:szCs w:val="21"/>
              </w:rPr>
              <w:t>。</w:t>
            </w:r>
          </w:p>
          <w:p w14:paraId="53BDC919">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lang w:bidi="ar"/>
              </w:rPr>
            </w:pPr>
            <w:r>
              <w:rPr>
                <w:rFonts w:ascii="Times New Roman" w:hAnsi="Times New Roman" w:eastAsia="方正仿宋_GBK" w:cs="Times New Roman"/>
                <w:sz w:val="21"/>
                <w:szCs w:val="21"/>
              </w:rPr>
              <w:t>（需提供合同的复印件或扫描件，并加盖公章）</w:t>
            </w:r>
          </w:p>
        </w:tc>
        <w:tc>
          <w:tcPr>
            <w:tcW w:w="1222" w:type="dxa"/>
            <w:tcBorders>
              <w:top w:val="single" w:color="auto" w:sz="6" w:space="0"/>
              <w:left w:val="single" w:color="auto" w:sz="6" w:space="0"/>
              <w:bottom w:val="single" w:color="auto" w:sz="6" w:space="0"/>
              <w:right w:val="single" w:color="auto" w:sz="6" w:space="0"/>
            </w:tcBorders>
            <w:noWrap w:val="0"/>
            <w:vAlign w:val="center"/>
          </w:tcPr>
          <w:p w14:paraId="4A8E9927">
            <w:pPr>
              <w:autoSpaceDE w:val="0"/>
              <w:autoSpaceDN w:val="0"/>
              <w:adjustRightInd w:val="0"/>
              <w:snapToGrid w:val="0"/>
              <w:spacing w:line="200" w:lineRule="exact"/>
              <w:ind w:left="-90" w:leftChars="-30" w:right="-126" w:rightChars="-42"/>
              <w:jc w:val="center"/>
              <w:rPr>
                <w:rFonts w:hint="default" w:ascii="Times New Roman" w:hAnsi="Times New Roman" w:eastAsia="方正仿宋_GBK" w:cs="Times New Roman"/>
                <w:kern w:val="0"/>
                <w:sz w:val="21"/>
                <w:szCs w:val="21"/>
                <w:lang w:val="en-US" w:eastAsia="zh-CN"/>
              </w:rPr>
            </w:pPr>
            <w:r>
              <w:rPr>
                <w:rFonts w:hint="eastAsia" w:eastAsia="方正仿宋_GBK" w:cs="Times New Roman"/>
                <w:kern w:val="0"/>
                <w:sz w:val="21"/>
                <w:szCs w:val="21"/>
                <w:lang w:val="en-US" w:eastAsia="zh-CN"/>
              </w:rPr>
              <w:t>20</w:t>
            </w:r>
          </w:p>
        </w:tc>
        <w:tc>
          <w:tcPr>
            <w:tcW w:w="1334" w:type="dxa"/>
            <w:tcBorders>
              <w:top w:val="single" w:color="auto" w:sz="6" w:space="0"/>
              <w:left w:val="single" w:color="auto" w:sz="6" w:space="0"/>
              <w:bottom w:val="single" w:color="auto" w:sz="6" w:space="0"/>
              <w:right w:val="single" w:color="auto" w:sz="6" w:space="0"/>
            </w:tcBorders>
            <w:noWrap w:val="0"/>
            <w:vAlign w:val="top"/>
          </w:tcPr>
          <w:p w14:paraId="16C6FF14">
            <w:pPr>
              <w:autoSpaceDE w:val="0"/>
              <w:autoSpaceDN w:val="0"/>
              <w:adjustRightInd w:val="0"/>
              <w:snapToGrid w:val="0"/>
              <w:spacing w:line="200" w:lineRule="exact"/>
              <w:ind w:left="-111" w:leftChars="-37" w:right="-105" w:rightChars="-35"/>
              <w:jc w:val="center"/>
              <w:rPr>
                <w:rFonts w:ascii="Times New Roman" w:hAnsi="Times New Roman" w:eastAsia="方正仿宋_GBK" w:cs="Times New Roman"/>
                <w:kern w:val="0"/>
                <w:sz w:val="21"/>
                <w:szCs w:val="21"/>
              </w:rPr>
            </w:pPr>
          </w:p>
        </w:tc>
        <w:tc>
          <w:tcPr>
            <w:tcW w:w="1591" w:type="dxa"/>
            <w:tcBorders>
              <w:top w:val="single" w:color="auto" w:sz="6" w:space="0"/>
              <w:left w:val="single" w:color="auto" w:sz="6" w:space="0"/>
              <w:bottom w:val="single" w:color="auto" w:sz="6" w:space="0"/>
            </w:tcBorders>
            <w:noWrap w:val="0"/>
            <w:vAlign w:val="top"/>
          </w:tcPr>
          <w:p w14:paraId="5B7BAE51">
            <w:pPr>
              <w:autoSpaceDE w:val="0"/>
              <w:autoSpaceDN w:val="0"/>
              <w:adjustRightInd w:val="0"/>
              <w:snapToGrid w:val="0"/>
              <w:spacing w:line="200" w:lineRule="exact"/>
              <w:ind w:left="-111" w:leftChars="-37" w:right="-105" w:rightChars="-35"/>
              <w:jc w:val="center"/>
              <w:rPr>
                <w:rFonts w:ascii="Times New Roman" w:hAnsi="Times New Roman" w:eastAsia="方正仿宋_GBK" w:cs="Times New Roman"/>
                <w:kern w:val="0"/>
                <w:sz w:val="21"/>
                <w:szCs w:val="21"/>
              </w:rPr>
            </w:pPr>
          </w:p>
        </w:tc>
      </w:tr>
      <w:tr w14:paraId="691600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89" w:hRule="atLeast"/>
          <w:jc w:val="center"/>
        </w:trPr>
        <w:tc>
          <w:tcPr>
            <w:tcW w:w="758" w:type="dxa"/>
            <w:tcBorders>
              <w:top w:val="single" w:color="auto" w:sz="6" w:space="0"/>
              <w:bottom w:val="single" w:color="auto" w:sz="6" w:space="0"/>
              <w:right w:val="single" w:color="auto" w:sz="6" w:space="0"/>
            </w:tcBorders>
            <w:noWrap w:val="0"/>
            <w:vAlign w:val="center"/>
          </w:tcPr>
          <w:p w14:paraId="791B09FA">
            <w:pPr>
              <w:numPr>
                <w:ilvl w:val="0"/>
                <w:numId w:val="0"/>
              </w:numPr>
              <w:suppressAutoHyphens/>
              <w:autoSpaceDE w:val="0"/>
              <w:autoSpaceDN w:val="0"/>
              <w:adjustRightInd w:val="0"/>
              <w:snapToGrid w:val="0"/>
              <w:spacing w:line="200" w:lineRule="exact"/>
              <w:jc w:val="left"/>
              <w:rPr>
                <w:rFonts w:hint="eastAsia" w:ascii="Times New Roman" w:hAnsi="Times New Roman" w:eastAsia="方正仿宋_GBK" w:cs="Times New Roman"/>
                <w:bCs/>
                <w:sz w:val="21"/>
                <w:szCs w:val="21"/>
                <w:lang w:eastAsia="zh-CN"/>
              </w:rPr>
            </w:pPr>
            <w:r>
              <w:rPr>
                <w:rFonts w:hint="eastAsia" w:eastAsia="方正仿宋_GBK" w:cs="Times New Roman"/>
                <w:bCs/>
                <w:sz w:val="21"/>
                <w:szCs w:val="21"/>
                <w:lang w:eastAsia="zh-CN"/>
              </w:rPr>
              <w:t>（二）</w:t>
            </w:r>
          </w:p>
        </w:tc>
        <w:tc>
          <w:tcPr>
            <w:tcW w:w="875" w:type="dxa"/>
            <w:tcBorders>
              <w:top w:val="single" w:color="auto" w:sz="6" w:space="0"/>
              <w:left w:val="single" w:color="auto" w:sz="6" w:space="0"/>
              <w:bottom w:val="single" w:color="auto" w:sz="6" w:space="0"/>
              <w:right w:val="single" w:color="auto" w:sz="6" w:space="0"/>
            </w:tcBorders>
            <w:noWrap w:val="0"/>
            <w:vAlign w:val="center"/>
          </w:tcPr>
          <w:p w14:paraId="6ACF8567">
            <w:pPr>
              <w:jc w:val="center"/>
              <w:rPr>
                <w:rFonts w:hint="eastAsia" w:ascii="Times New Roman" w:hAnsi="Times New Roman" w:eastAsia="方正仿宋_GBK" w:cs="Times New Roman"/>
                <w:sz w:val="21"/>
                <w:szCs w:val="21"/>
                <w:lang w:eastAsia="zh-CN"/>
              </w:rPr>
            </w:pPr>
            <w:r>
              <w:rPr>
                <w:rFonts w:hint="eastAsia" w:eastAsia="方正仿宋_GBK" w:cs="Times New Roman"/>
                <w:sz w:val="21"/>
                <w:szCs w:val="21"/>
                <w:lang w:eastAsia="zh-CN"/>
              </w:rPr>
              <w:t>人员配备</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73CE9EA8">
            <w:pPr>
              <w:keepNext w:val="0"/>
              <w:keepLines w:val="0"/>
              <w:pageBreakBefore w:val="0"/>
              <w:widowControl w:val="0"/>
              <w:numPr>
                <w:ilvl w:val="0"/>
                <w:numId w:val="3"/>
              </w:numPr>
              <w:kinsoku/>
              <w:wordWrap/>
              <w:overflowPunct/>
              <w:topLinePunct w:val="0"/>
              <w:autoSpaceDE/>
              <w:autoSpaceDN/>
              <w:bidi w:val="0"/>
              <w:adjustRightInd w:val="0"/>
              <w:snapToGrid w:val="0"/>
              <w:textAlignment w:val="auto"/>
              <w:rPr>
                <w:rFonts w:hint="eastAsia" w:eastAsia="方正仿宋_GBK" w:cs="Times New Roman"/>
                <w:sz w:val="21"/>
                <w:szCs w:val="21"/>
                <w:lang w:val="en-US" w:eastAsia="zh-CN"/>
              </w:rPr>
            </w:pPr>
            <w:r>
              <w:rPr>
                <w:rFonts w:ascii="Times New Roman" w:hAnsi="Times New Roman" w:eastAsia="方正仿宋_GBK" w:cs="Times New Roman"/>
                <w:sz w:val="21"/>
                <w:szCs w:val="21"/>
              </w:rPr>
              <w:t>项目负责人</w:t>
            </w:r>
            <w:r>
              <w:rPr>
                <w:rFonts w:hint="eastAsia" w:eastAsia="方正仿宋_GBK" w:cs="Times New Roman"/>
                <w:sz w:val="21"/>
                <w:szCs w:val="21"/>
                <w:lang w:eastAsia="zh-CN"/>
              </w:rPr>
              <w:t>：</w:t>
            </w:r>
            <w:r>
              <w:rPr>
                <w:rFonts w:ascii="Times New Roman" w:hAnsi="Times New Roman" w:eastAsia="方正仿宋_GBK" w:cs="Times New Roman"/>
                <w:sz w:val="21"/>
                <w:szCs w:val="21"/>
              </w:rPr>
              <w:t>具有相关专业高级或以上职称的得</w:t>
            </w:r>
            <w:r>
              <w:rPr>
                <w:rFonts w:hint="eastAsia" w:eastAsia="方正仿宋_GBK" w:cs="Times New Roman"/>
                <w:sz w:val="21"/>
                <w:szCs w:val="21"/>
                <w:lang w:val="en-US" w:eastAsia="zh-CN"/>
              </w:rPr>
              <w:t>8</w:t>
            </w:r>
            <w:r>
              <w:rPr>
                <w:rFonts w:ascii="Times New Roman" w:hAnsi="Times New Roman" w:eastAsia="方正仿宋_GBK" w:cs="Times New Roman"/>
                <w:sz w:val="21"/>
                <w:szCs w:val="21"/>
              </w:rPr>
              <w:t>分，具有环保或相关专业中级职称的得</w:t>
            </w:r>
            <w:r>
              <w:rPr>
                <w:rFonts w:hint="eastAsia" w:eastAsia="方正仿宋_GBK" w:cs="Times New Roman"/>
                <w:sz w:val="21"/>
                <w:szCs w:val="21"/>
                <w:lang w:val="en-US" w:eastAsia="zh-CN"/>
              </w:rPr>
              <w:t>5</w:t>
            </w:r>
            <w:r>
              <w:rPr>
                <w:rFonts w:ascii="Times New Roman" w:hAnsi="Times New Roman" w:eastAsia="方正仿宋_GBK" w:cs="Times New Roman"/>
                <w:sz w:val="21"/>
                <w:szCs w:val="21"/>
              </w:rPr>
              <w:t>分，其余不得分</w:t>
            </w:r>
            <w:r>
              <w:rPr>
                <w:rFonts w:hint="eastAsia" w:eastAsia="方正仿宋_GBK" w:cs="Times New Roman"/>
                <w:sz w:val="21"/>
                <w:szCs w:val="21"/>
                <w:lang w:eastAsia="zh-CN"/>
              </w:rPr>
              <w:t>，</w:t>
            </w:r>
            <w:r>
              <w:rPr>
                <w:rFonts w:hint="eastAsia" w:eastAsia="方正仿宋_GBK" w:cs="Times New Roman"/>
                <w:sz w:val="21"/>
                <w:szCs w:val="21"/>
                <w:lang w:val="en-US" w:eastAsia="zh-CN"/>
              </w:rPr>
              <w:t>本项最高不超过8分。</w:t>
            </w:r>
          </w:p>
          <w:p w14:paraId="4D27687B">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Times New Roman" w:hAnsi="Times New Roman" w:eastAsia="方正仿宋_GBK" w:cs="Times New Roman"/>
                <w:sz w:val="21"/>
                <w:szCs w:val="21"/>
                <w:lang w:val="en-US" w:eastAsia="zh-CN"/>
              </w:rPr>
            </w:pPr>
            <w:r>
              <w:rPr>
                <w:rFonts w:hint="eastAsia" w:eastAsia="方正仿宋_GBK" w:cs="Times New Roman"/>
                <w:sz w:val="21"/>
                <w:szCs w:val="21"/>
                <w:lang w:eastAsia="zh-CN"/>
              </w:rPr>
              <w:t>（</w:t>
            </w:r>
            <w:r>
              <w:rPr>
                <w:rFonts w:hint="eastAsia" w:eastAsia="方正仿宋_GBK" w:cs="Times New Roman"/>
                <w:sz w:val="21"/>
                <w:szCs w:val="21"/>
                <w:lang w:val="en-US" w:eastAsia="zh-CN"/>
              </w:rPr>
              <w:t>2</w:t>
            </w:r>
            <w:r>
              <w:rPr>
                <w:rFonts w:hint="eastAsia" w:eastAsia="方正仿宋_GBK" w:cs="Times New Roman"/>
                <w:sz w:val="21"/>
                <w:szCs w:val="21"/>
                <w:lang w:eastAsia="zh-CN"/>
              </w:rPr>
              <w:t>）其它团队成员：</w:t>
            </w:r>
            <w:r>
              <w:rPr>
                <w:rFonts w:ascii="Times New Roman" w:hAnsi="Times New Roman" w:eastAsia="方正仿宋_GBK" w:cs="Times New Roman"/>
                <w:sz w:val="21"/>
                <w:szCs w:val="21"/>
              </w:rPr>
              <w:t>具有相关专业高级或以上职称的得</w:t>
            </w:r>
            <w:r>
              <w:rPr>
                <w:rFonts w:hint="eastAsia" w:eastAsia="方正仿宋_GBK" w:cs="Times New Roman"/>
                <w:sz w:val="21"/>
                <w:szCs w:val="21"/>
                <w:lang w:val="en-US" w:eastAsia="zh-CN"/>
              </w:rPr>
              <w:t>6</w:t>
            </w:r>
            <w:r>
              <w:rPr>
                <w:rFonts w:ascii="Times New Roman" w:hAnsi="Times New Roman" w:eastAsia="方正仿宋_GBK" w:cs="Times New Roman"/>
                <w:sz w:val="21"/>
                <w:szCs w:val="21"/>
              </w:rPr>
              <w:t>分，</w:t>
            </w:r>
            <w:r>
              <w:rPr>
                <w:rFonts w:hint="eastAsia" w:eastAsia="方正仿宋_GBK" w:cs="Times New Roman"/>
                <w:sz w:val="21"/>
                <w:szCs w:val="21"/>
                <w:lang w:eastAsia="zh-CN"/>
              </w:rPr>
              <w:t>具备相关专业中级或以上职称的，每人得</w:t>
            </w:r>
            <w:r>
              <w:rPr>
                <w:rFonts w:hint="eastAsia" w:eastAsia="方正仿宋_GBK" w:cs="Times New Roman"/>
                <w:sz w:val="21"/>
                <w:szCs w:val="21"/>
                <w:lang w:val="en-US" w:eastAsia="zh-CN"/>
              </w:rPr>
              <w:t>3分，其余不得分，本项最高不超过12分，供应商最多提供3个技术人员职称证书，多提供的以最高的3个证书进行评审。</w:t>
            </w:r>
          </w:p>
          <w:p w14:paraId="06C3C71E">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eastAsia="方正仿宋_GBK" w:cs="Times New Roman"/>
                <w:sz w:val="21"/>
                <w:szCs w:val="21"/>
              </w:rPr>
            </w:pPr>
            <w:r>
              <w:rPr>
                <w:rFonts w:ascii="Times New Roman" w:hAnsi="Times New Roman" w:eastAsia="方正仿宋_GBK" w:cs="Times New Roman"/>
                <w:sz w:val="21"/>
                <w:szCs w:val="21"/>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1222" w:type="dxa"/>
            <w:tcBorders>
              <w:top w:val="single" w:color="auto" w:sz="6" w:space="0"/>
              <w:left w:val="single" w:color="auto" w:sz="6" w:space="0"/>
              <w:bottom w:val="single" w:color="auto" w:sz="6" w:space="0"/>
              <w:right w:val="single" w:color="auto" w:sz="6" w:space="0"/>
            </w:tcBorders>
            <w:noWrap w:val="0"/>
            <w:vAlign w:val="center"/>
          </w:tcPr>
          <w:p w14:paraId="03B9AC2D">
            <w:pPr>
              <w:autoSpaceDE w:val="0"/>
              <w:autoSpaceDN w:val="0"/>
              <w:adjustRightInd w:val="0"/>
              <w:snapToGrid w:val="0"/>
              <w:spacing w:line="200" w:lineRule="exact"/>
              <w:ind w:left="-90" w:leftChars="-30" w:right="-126" w:rightChars="-42"/>
              <w:jc w:val="center"/>
              <w:rPr>
                <w:rFonts w:hint="default" w:ascii="Times New Roman" w:hAnsi="Times New Roman" w:eastAsia="方正仿宋_GBK" w:cs="Times New Roman"/>
                <w:kern w:val="0"/>
                <w:sz w:val="21"/>
                <w:szCs w:val="21"/>
                <w:lang w:val="en-US" w:eastAsia="zh-CN"/>
              </w:rPr>
            </w:pPr>
            <w:r>
              <w:rPr>
                <w:rFonts w:hint="eastAsia" w:eastAsia="方正仿宋_GBK" w:cs="Times New Roman"/>
                <w:kern w:val="0"/>
                <w:sz w:val="21"/>
                <w:szCs w:val="21"/>
                <w:lang w:val="en-US" w:eastAsia="zh-CN"/>
              </w:rPr>
              <w:t>20</w:t>
            </w:r>
          </w:p>
        </w:tc>
        <w:tc>
          <w:tcPr>
            <w:tcW w:w="1334" w:type="dxa"/>
            <w:tcBorders>
              <w:top w:val="single" w:color="auto" w:sz="6" w:space="0"/>
              <w:left w:val="single" w:color="auto" w:sz="6" w:space="0"/>
              <w:bottom w:val="single" w:color="auto" w:sz="6" w:space="0"/>
              <w:right w:val="single" w:color="auto" w:sz="6" w:space="0"/>
            </w:tcBorders>
            <w:noWrap w:val="0"/>
            <w:vAlign w:val="top"/>
          </w:tcPr>
          <w:p w14:paraId="3ECF9D7B">
            <w:pPr>
              <w:autoSpaceDE w:val="0"/>
              <w:autoSpaceDN w:val="0"/>
              <w:adjustRightInd w:val="0"/>
              <w:snapToGrid w:val="0"/>
              <w:spacing w:line="200" w:lineRule="exact"/>
              <w:ind w:left="-111" w:leftChars="-37" w:right="-105" w:rightChars="-35"/>
              <w:jc w:val="center"/>
              <w:rPr>
                <w:rFonts w:ascii="Times New Roman" w:hAnsi="Times New Roman" w:eastAsia="方正仿宋_GBK" w:cs="Times New Roman"/>
                <w:kern w:val="0"/>
                <w:sz w:val="21"/>
                <w:szCs w:val="21"/>
              </w:rPr>
            </w:pPr>
          </w:p>
        </w:tc>
        <w:tc>
          <w:tcPr>
            <w:tcW w:w="1591" w:type="dxa"/>
            <w:tcBorders>
              <w:top w:val="single" w:color="auto" w:sz="6" w:space="0"/>
              <w:left w:val="single" w:color="auto" w:sz="6" w:space="0"/>
              <w:bottom w:val="single" w:color="auto" w:sz="6" w:space="0"/>
            </w:tcBorders>
            <w:noWrap w:val="0"/>
            <w:vAlign w:val="top"/>
          </w:tcPr>
          <w:p w14:paraId="05E2CEDD">
            <w:pPr>
              <w:autoSpaceDE w:val="0"/>
              <w:autoSpaceDN w:val="0"/>
              <w:adjustRightInd w:val="0"/>
              <w:snapToGrid w:val="0"/>
              <w:spacing w:line="200" w:lineRule="exact"/>
              <w:ind w:left="-111" w:leftChars="-37" w:right="-105" w:rightChars="-35"/>
              <w:jc w:val="center"/>
              <w:rPr>
                <w:rFonts w:ascii="Times New Roman" w:hAnsi="Times New Roman" w:eastAsia="方正仿宋_GBK" w:cs="Times New Roman"/>
                <w:kern w:val="0"/>
                <w:sz w:val="21"/>
                <w:szCs w:val="21"/>
              </w:rPr>
            </w:pPr>
          </w:p>
        </w:tc>
      </w:tr>
      <w:tr w14:paraId="2ED92D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3645" w:type="dxa"/>
            <w:gridSpan w:val="6"/>
            <w:tcBorders>
              <w:top w:val="single" w:color="auto" w:sz="6" w:space="0"/>
              <w:bottom w:val="single" w:color="auto" w:sz="6" w:space="0"/>
            </w:tcBorders>
            <w:noWrap w:val="0"/>
            <w:vAlign w:val="center"/>
          </w:tcPr>
          <w:p w14:paraId="480F5208">
            <w:pPr>
              <w:keepNext w:val="0"/>
              <w:keepLines w:val="0"/>
              <w:pageBreakBefore w:val="0"/>
              <w:widowControl w:val="0"/>
              <w:kinsoku/>
              <w:wordWrap/>
              <w:overflowPunct/>
              <w:topLinePunct w:val="0"/>
              <w:autoSpaceDE w:val="0"/>
              <w:autoSpaceDN w:val="0"/>
              <w:bidi w:val="0"/>
              <w:adjustRightInd w:val="0"/>
              <w:snapToGrid w:val="0"/>
              <w:spacing w:line="240" w:lineRule="auto"/>
              <w:ind w:left="-111" w:leftChars="-37" w:right="-105" w:rightChars="-35"/>
              <w:jc w:val="left"/>
              <w:textAlignment w:val="auto"/>
              <w:rPr>
                <w:rFonts w:ascii="Times New Roman" w:hAnsi="Times New Roman" w:eastAsia="方正仿宋_GBK" w:cs="Times New Roman"/>
                <w:kern w:val="0"/>
                <w:sz w:val="21"/>
                <w:szCs w:val="21"/>
              </w:rPr>
            </w:pPr>
            <w:r>
              <w:rPr>
                <w:rFonts w:hint="default" w:ascii="Times New Roman" w:hAnsi="Times New Roman" w:eastAsia="国标黑体" w:cs="Times New Roman"/>
                <w:kern w:val="0"/>
                <w:sz w:val="22"/>
                <w:szCs w:val="22"/>
                <w:lang w:eastAsia="zh-CN"/>
              </w:rPr>
              <w:t>三、价格部分（</w:t>
            </w:r>
            <w:r>
              <w:rPr>
                <w:rFonts w:hint="default" w:ascii="Times New Roman" w:hAnsi="Times New Roman" w:eastAsia="国标黑体" w:cs="Times New Roman"/>
                <w:kern w:val="0"/>
                <w:sz w:val="22"/>
                <w:szCs w:val="22"/>
                <w:lang w:val="en-US" w:eastAsia="zh-CN"/>
              </w:rPr>
              <w:t>15分</w:t>
            </w:r>
            <w:r>
              <w:rPr>
                <w:rFonts w:hint="default" w:ascii="Times New Roman" w:hAnsi="Times New Roman" w:eastAsia="国标黑体" w:cs="Times New Roman"/>
                <w:kern w:val="0"/>
                <w:sz w:val="22"/>
                <w:szCs w:val="22"/>
                <w:lang w:eastAsia="zh-CN"/>
              </w:rPr>
              <w:t>）</w:t>
            </w:r>
          </w:p>
        </w:tc>
      </w:tr>
      <w:tr w14:paraId="324426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6" w:hRule="atLeast"/>
          <w:jc w:val="center"/>
        </w:trPr>
        <w:tc>
          <w:tcPr>
            <w:tcW w:w="758" w:type="dxa"/>
            <w:tcBorders>
              <w:top w:val="single" w:color="auto" w:sz="6" w:space="0"/>
              <w:bottom w:val="single" w:color="auto" w:sz="6" w:space="0"/>
              <w:right w:val="single" w:color="auto" w:sz="6" w:space="0"/>
            </w:tcBorders>
            <w:noWrap w:val="0"/>
            <w:vAlign w:val="center"/>
          </w:tcPr>
          <w:p w14:paraId="553319A3">
            <w:pPr>
              <w:numPr>
                <w:ilvl w:val="0"/>
                <w:numId w:val="4"/>
              </w:numPr>
              <w:suppressAutoHyphens/>
              <w:autoSpaceDE w:val="0"/>
              <w:autoSpaceDN w:val="0"/>
              <w:adjustRightInd w:val="0"/>
              <w:snapToGrid w:val="0"/>
              <w:spacing w:line="200" w:lineRule="exact"/>
              <w:jc w:val="left"/>
              <w:rPr>
                <w:rFonts w:ascii="Times New Roman" w:hAnsi="Times New Roman" w:eastAsia="方正仿宋_GBK" w:cs="Times New Roman"/>
                <w:kern w:val="0"/>
                <w:sz w:val="21"/>
                <w:szCs w:val="21"/>
              </w:rPr>
            </w:pPr>
          </w:p>
        </w:tc>
        <w:tc>
          <w:tcPr>
            <w:tcW w:w="875" w:type="dxa"/>
            <w:tcBorders>
              <w:top w:val="single" w:color="auto" w:sz="6" w:space="0"/>
              <w:left w:val="single" w:color="auto" w:sz="6" w:space="0"/>
              <w:bottom w:val="single" w:color="auto" w:sz="6" w:space="0"/>
              <w:right w:val="single" w:color="auto" w:sz="6" w:space="0"/>
            </w:tcBorders>
            <w:noWrap w:val="0"/>
            <w:vAlign w:val="center"/>
          </w:tcPr>
          <w:p w14:paraId="14BDD15A">
            <w:pPr>
              <w:autoSpaceDE w:val="0"/>
              <w:autoSpaceDN w:val="0"/>
              <w:adjustRightInd w:val="0"/>
              <w:snapToGrid w:val="0"/>
              <w:spacing w:line="200" w:lineRule="exact"/>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价格得分</w:t>
            </w:r>
          </w:p>
        </w:tc>
        <w:tc>
          <w:tcPr>
            <w:tcW w:w="7865" w:type="dxa"/>
            <w:tcBorders>
              <w:top w:val="single" w:color="auto" w:sz="6" w:space="0"/>
              <w:left w:val="single" w:color="auto" w:sz="6" w:space="0"/>
              <w:bottom w:val="single" w:color="auto" w:sz="6" w:space="0"/>
              <w:right w:val="single" w:color="auto" w:sz="6" w:space="0"/>
            </w:tcBorders>
            <w:noWrap w:val="0"/>
            <w:vAlign w:val="center"/>
          </w:tcPr>
          <w:p w14:paraId="0116F0D7">
            <w:pPr>
              <w:autoSpaceDE w:val="0"/>
              <w:autoSpaceDN w:val="0"/>
              <w:adjustRightInd w:val="0"/>
              <w:snapToGrid w:val="0"/>
              <w:spacing w:line="360" w:lineRule="exact"/>
              <w:jc w:val="left"/>
              <w:rPr>
                <w:rFonts w:ascii="Times New Roman" w:hAnsi="Times New Roman" w:eastAsia="方正仿宋_GBK" w:cs="Times New Roman"/>
                <w:sz w:val="21"/>
                <w:szCs w:val="21"/>
              </w:rPr>
            </w:pPr>
            <w:r>
              <w:rPr>
                <w:rFonts w:ascii="Times New Roman" w:hAnsi="Times New Roman" w:eastAsia="方正仿宋_GBK" w:cs="Times New Roman"/>
                <w:sz w:val="21"/>
                <w:szCs w:val="21"/>
              </w:rPr>
              <w:t>价格分采用低价优先法计算，即满足采购需求且报价最低的为基准价，该项价格得分为满分。其他供应商的价格得分统一按照下列公式计算： 供应商价格得分=(基准价／报价)×</w:t>
            </w:r>
            <w:r>
              <w:rPr>
                <w:rFonts w:hint="default" w:ascii="Times New Roman" w:hAnsi="Times New Roman" w:eastAsia="方正仿宋_GBK" w:cs="Times New Roman"/>
                <w:sz w:val="21"/>
                <w:szCs w:val="21"/>
                <w:lang w:val="en-US" w:eastAsia="zh-CN"/>
              </w:rPr>
              <w:t>1</w:t>
            </w:r>
            <w:r>
              <w:rPr>
                <w:rFonts w:hint="eastAsia" w:eastAsia="方正仿宋_GBK" w:cs="Times New Roman"/>
                <w:sz w:val="21"/>
                <w:szCs w:val="21"/>
                <w:lang w:val="en-US" w:eastAsia="zh-CN"/>
              </w:rPr>
              <w:t>5</w:t>
            </w:r>
            <w:r>
              <w:rPr>
                <w:rFonts w:ascii="Times New Roman" w:hAnsi="Times New Roman" w:eastAsia="方正仿宋_GBK" w:cs="Times New Roman"/>
                <w:sz w:val="21"/>
                <w:szCs w:val="21"/>
              </w:rPr>
              <w:t>，价格得分四舍五入后保留小数点后两位有效数。</w:t>
            </w:r>
            <w:r>
              <w:rPr>
                <w:rFonts w:ascii="Times New Roman" w:hAnsi="Times New Roman" w:eastAsia="方正仿宋_GBK" w:cs="Times New Roman"/>
                <w:b/>
                <w:sz w:val="21"/>
                <w:szCs w:val="21"/>
              </w:rPr>
              <w:t>（对符合规定的小型和微型企业（监狱企业、残疾人福利单位视同小型、微型企业）报价给予10%的价格扣除。）</w:t>
            </w:r>
          </w:p>
        </w:tc>
        <w:tc>
          <w:tcPr>
            <w:tcW w:w="1222" w:type="dxa"/>
            <w:tcBorders>
              <w:top w:val="single" w:color="auto" w:sz="6" w:space="0"/>
              <w:left w:val="single" w:color="auto" w:sz="6" w:space="0"/>
              <w:bottom w:val="single" w:color="auto" w:sz="6" w:space="0"/>
              <w:right w:val="single" w:color="auto" w:sz="6" w:space="0"/>
            </w:tcBorders>
            <w:noWrap w:val="0"/>
            <w:vAlign w:val="center"/>
          </w:tcPr>
          <w:p w14:paraId="1F64474A">
            <w:pPr>
              <w:autoSpaceDE w:val="0"/>
              <w:autoSpaceDN w:val="0"/>
              <w:adjustRightInd w:val="0"/>
              <w:snapToGrid w:val="0"/>
              <w:spacing w:line="200" w:lineRule="exact"/>
              <w:ind w:left="-111" w:leftChars="-37" w:right="-105" w:rightChars="-35"/>
              <w:jc w:val="center"/>
              <w:rPr>
                <w:rFonts w:hint="default" w:ascii="Times New Roman" w:hAnsi="Times New Roman" w:eastAsia="方正仿宋_GBK" w:cs="Times New Roman"/>
                <w:kern w:val="0"/>
                <w:sz w:val="21"/>
                <w:szCs w:val="21"/>
                <w:lang w:val="en-US" w:eastAsia="zh-CN"/>
              </w:rPr>
            </w:pPr>
            <w:r>
              <w:rPr>
                <w:rFonts w:hint="default" w:ascii="Times New Roman" w:hAnsi="Times New Roman" w:eastAsia="方正仿宋_GBK" w:cs="Times New Roman"/>
                <w:kern w:val="0"/>
                <w:sz w:val="21"/>
                <w:szCs w:val="21"/>
                <w:lang w:val="en-US" w:eastAsia="zh-CN"/>
              </w:rPr>
              <w:t>1</w:t>
            </w:r>
            <w:r>
              <w:rPr>
                <w:rFonts w:hint="eastAsia" w:eastAsia="方正仿宋_GBK" w:cs="Times New Roman"/>
                <w:kern w:val="0"/>
                <w:sz w:val="21"/>
                <w:szCs w:val="21"/>
                <w:lang w:val="en-US" w:eastAsia="zh-CN"/>
              </w:rPr>
              <w:t>5</w:t>
            </w:r>
          </w:p>
        </w:tc>
        <w:tc>
          <w:tcPr>
            <w:tcW w:w="1334" w:type="dxa"/>
            <w:tcBorders>
              <w:top w:val="single" w:color="auto" w:sz="6" w:space="0"/>
              <w:left w:val="single" w:color="auto" w:sz="6" w:space="0"/>
              <w:bottom w:val="single" w:color="auto" w:sz="6" w:space="0"/>
              <w:right w:val="single" w:color="auto" w:sz="6" w:space="0"/>
            </w:tcBorders>
            <w:noWrap w:val="0"/>
            <w:vAlign w:val="top"/>
          </w:tcPr>
          <w:p w14:paraId="47C275AE">
            <w:pPr>
              <w:autoSpaceDE w:val="0"/>
              <w:autoSpaceDN w:val="0"/>
              <w:adjustRightInd w:val="0"/>
              <w:snapToGrid w:val="0"/>
              <w:spacing w:line="200" w:lineRule="exact"/>
              <w:ind w:left="-111" w:leftChars="-37" w:right="-105" w:rightChars="-35"/>
              <w:jc w:val="center"/>
              <w:rPr>
                <w:rFonts w:ascii="Times New Roman" w:hAnsi="Times New Roman" w:eastAsia="方正仿宋_GBK" w:cs="Times New Roman"/>
                <w:kern w:val="0"/>
                <w:sz w:val="21"/>
                <w:szCs w:val="21"/>
              </w:rPr>
            </w:pPr>
          </w:p>
        </w:tc>
        <w:tc>
          <w:tcPr>
            <w:tcW w:w="1591" w:type="dxa"/>
            <w:tcBorders>
              <w:top w:val="single" w:color="auto" w:sz="6" w:space="0"/>
              <w:left w:val="single" w:color="auto" w:sz="6" w:space="0"/>
              <w:bottom w:val="single" w:color="auto" w:sz="6" w:space="0"/>
            </w:tcBorders>
            <w:noWrap w:val="0"/>
            <w:vAlign w:val="top"/>
          </w:tcPr>
          <w:p w14:paraId="163A26E2">
            <w:pPr>
              <w:autoSpaceDE w:val="0"/>
              <w:autoSpaceDN w:val="0"/>
              <w:adjustRightInd w:val="0"/>
              <w:snapToGrid w:val="0"/>
              <w:spacing w:line="200" w:lineRule="exact"/>
              <w:ind w:left="-111" w:leftChars="-37" w:right="-105" w:rightChars="-35"/>
              <w:jc w:val="center"/>
              <w:rPr>
                <w:rFonts w:ascii="Times New Roman" w:hAnsi="Times New Roman" w:eastAsia="方正仿宋_GBK" w:cs="Times New Roman"/>
                <w:kern w:val="0"/>
                <w:sz w:val="21"/>
                <w:szCs w:val="21"/>
              </w:rPr>
            </w:pPr>
          </w:p>
        </w:tc>
      </w:tr>
      <w:tr w14:paraId="15848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498" w:type="dxa"/>
            <w:gridSpan w:val="3"/>
            <w:tcBorders>
              <w:top w:val="single" w:color="auto" w:sz="6" w:space="0"/>
              <w:right w:val="single" w:color="auto" w:sz="6" w:space="0"/>
            </w:tcBorders>
            <w:noWrap w:val="0"/>
            <w:vAlign w:val="center"/>
          </w:tcPr>
          <w:p w14:paraId="4FA87981">
            <w:pPr>
              <w:autoSpaceDE w:val="0"/>
              <w:autoSpaceDN w:val="0"/>
              <w:adjustRightInd w:val="0"/>
              <w:snapToGrid w:val="0"/>
              <w:spacing w:line="200" w:lineRule="exact"/>
              <w:ind w:left="-111" w:leftChars="-37" w:right="-105" w:rightChars="-35"/>
              <w:jc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合计</w:t>
            </w:r>
          </w:p>
        </w:tc>
        <w:tc>
          <w:tcPr>
            <w:tcW w:w="1222" w:type="dxa"/>
            <w:tcBorders>
              <w:top w:val="single" w:color="auto" w:sz="6" w:space="0"/>
              <w:left w:val="single" w:color="auto" w:sz="6" w:space="0"/>
              <w:right w:val="single" w:color="auto" w:sz="6" w:space="0"/>
            </w:tcBorders>
            <w:noWrap w:val="0"/>
            <w:vAlign w:val="center"/>
          </w:tcPr>
          <w:p w14:paraId="7590704E">
            <w:pPr>
              <w:autoSpaceDE w:val="0"/>
              <w:autoSpaceDN w:val="0"/>
              <w:adjustRightInd w:val="0"/>
              <w:snapToGrid w:val="0"/>
              <w:spacing w:line="200" w:lineRule="exact"/>
              <w:ind w:left="-111" w:leftChars="-37" w:right="-105" w:rightChars="-35"/>
              <w:jc w:val="center"/>
              <w:rPr>
                <w:rFonts w:ascii="Times New Roman" w:hAnsi="Times New Roman" w:eastAsia="方正仿宋_GBK" w:cs="Times New Roman"/>
                <w:b/>
                <w:kern w:val="0"/>
                <w:sz w:val="21"/>
                <w:szCs w:val="21"/>
              </w:rPr>
            </w:pPr>
            <w:r>
              <w:rPr>
                <w:rFonts w:ascii="Times New Roman" w:hAnsi="Times New Roman" w:eastAsia="方正仿宋_GBK" w:cs="Times New Roman"/>
                <w:b/>
                <w:kern w:val="0"/>
                <w:sz w:val="21"/>
                <w:szCs w:val="21"/>
              </w:rPr>
              <w:t xml:space="preserve">100 </w:t>
            </w:r>
          </w:p>
        </w:tc>
        <w:tc>
          <w:tcPr>
            <w:tcW w:w="1334" w:type="dxa"/>
            <w:tcBorders>
              <w:top w:val="single" w:color="auto" w:sz="6" w:space="0"/>
              <w:left w:val="single" w:color="auto" w:sz="6" w:space="0"/>
              <w:right w:val="single" w:color="auto" w:sz="6" w:space="0"/>
            </w:tcBorders>
            <w:noWrap w:val="0"/>
            <w:vAlign w:val="top"/>
          </w:tcPr>
          <w:p w14:paraId="73430D69">
            <w:pPr>
              <w:autoSpaceDE w:val="0"/>
              <w:autoSpaceDN w:val="0"/>
              <w:adjustRightInd w:val="0"/>
              <w:snapToGrid w:val="0"/>
              <w:spacing w:line="200" w:lineRule="exact"/>
              <w:ind w:left="-111" w:leftChars="-37" w:right="-105" w:rightChars="-35"/>
              <w:jc w:val="center"/>
              <w:rPr>
                <w:rFonts w:ascii="Times New Roman" w:hAnsi="Times New Roman" w:eastAsia="方正仿宋_GBK" w:cs="Times New Roman"/>
                <w:b/>
                <w:kern w:val="0"/>
                <w:sz w:val="21"/>
                <w:szCs w:val="21"/>
              </w:rPr>
            </w:pPr>
          </w:p>
        </w:tc>
        <w:tc>
          <w:tcPr>
            <w:tcW w:w="1591" w:type="dxa"/>
            <w:tcBorders>
              <w:top w:val="single" w:color="auto" w:sz="6" w:space="0"/>
              <w:left w:val="single" w:color="auto" w:sz="6" w:space="0"/>
            </w:tcBorders>
            <w:noWrap w:val="0"/>
            <w:vAlign w:val="top"/>
          </w:tcPr>
          <w:p w14:paraId="508FAA49">
            <w:pPr>
              <w:autoSpaceDE w:val="0"/>
              <w:autoSpaceDN w:val="0"/>
              <w:adjustRightInd w:val="0"/>
              <w:snapToGrid w:val="0"/>
              <w:spacing w:line="200" w:lineRule="exact"/>
              <w:ind w:left="-111" w:leftChars="-37" w:right="-105" w:rightChars="-35"/>
              <w:jc w:val="center"/>
              <w:rPr>
                <w:rFonts w:ascii="Times New Roman" w:hAnsi="Times New Roman" w:eastAsia="方正仿宋_GBK" w:cs="Times New Roman"/>
                <w:b/>
                <w:kern w:val="0"/>
                <w:sz w:val="21"/>
                <w:szCs w:val="21"/>
              </w:rPr>
            </w:pPr>
          </w:p>
        </w:tc>
      </w:tr>
    </w:tbl>
    <w:p w14:paraId="116EF0D5"/>
    <w:sectPr>
      <w:pgSz w:w="16838" w:h="11906" w:orient="landscape"/>
      <w:pgMar w:top="1576" w:right="1440" w:bottom="157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B1960"/>
    <w:multiLevelType w:val="singleLevel"/>
    <w:tmpl w:val="BFDB1960"/>
    <w:lvl w:ilvl="0" w:tentative="0">
      <w:start w:val="1"/>
      <w:numFmt w:val="decimal"/>
      <w:suff w:val="nothing"/>
      <w:lvlText w:val="（%1）"/>
      <w:lvlJc w:val="left"/>
    </w:lvl>
  </w:abstractNum>
  <w:abstractNum w:abstractNumId="1">
    <w:nsid w:val="F7F752B4"/>
    <w:multiLevelType w:val="singleLevel"/>
    <w:tmpl w:val="F7F752B4"/>
    <w:lvl w:ilvl="0" w:tentative="0">
      <w:start w:val="1"/>
      <w:numFmt w:val="decimal"/>
      <w:suff w:val="nothing"/>
      <w:lvlText w:val="（%1）"/>
      <w:lvlJc w:val="left"/>
    </w:lvl>
  </w:abstractNum>
  <w:abstractNum w:abstractNumId="2">
    <w:nsid w:val="32EF7399"/>
    <w:multiLevelType w:val="singleLevel"/>
    <w:tmpl w:val="32EF7399"/>
    <w:lvl w:ilvl="0" w:tentative="0">
      <w:start w:val="1"/>
      <w:numFmt w:val="decimal"/>
      <w:suff w:val="nothing"/>
      <w:lvlText w:val="（%1）"/>
      <w:lvlJc w:val="left"/>
    </w:lvl>
  </w:abstractNum>
  <w:abstractNum w:abstractNumId="3">
    <w:nsid w:val="71C86346"/>
    <w:multiLevelType w:val="multilevel"/>
    <w:tmpl w:val="71C8634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B0DE6"/>
    <w:rsid w:val="5B577B67"/>
    <w:rsid w:val="734B0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unhideWhenUsed/>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2026-03-24T07:11:00Z</dcterms:created>
  <dc:creator>李耀明</dc:creator>
  <cp:lastModifiedBy>李耀明</cp:lastModifiedBy>
  <dcterms:modified xsi:type="dcterms:W3CDTF">2026-03-24T07:13:35Z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A424D7C6E842448FBC65CEF5BE365068_11</vt:lpwstr>
  </property>
  <property fmtid="{D5CDD505-2E9C-101B-9397-08002B2CF9AE}" pid="4" name="KSOTemplateDocerSaveRecord">
    <vt:lpwstr>eyJoZGlkIjoiMDM3NGU3YmU1ODYyYjdmN2E3ZWRhMmM0MjY3M2IwZTIiLCJ1c2VySWQiOiIzNDIwMDI0OTEifQ==</vt:lpwstr>
  </property>
</Properties>
</file>