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b/>
          <w:color w:val="auto"/>
          <w:sz w:val="36"/>
          <w:highlight w:val="none"/>
        </w:rPr>
      </w:pPr>
    </w:p>
    <w:p>
      <w:pPr>
        <w:spacing w:line="560" w:lineRule="exact"/>
        <w:jc w:val="center"/>
        <w:rPr>
          <w:rFonts w:hint="eastAsia" w:ascii="方正大标宋_GBK" w:hAnsi="方正大标宋_GBK" w:eastAsia="方正大标宋_GBK" w:cs="方正大标宋_GBK"/>
          <w:bCs/>
          <w:color w:val="auto"/>
          <w:sz w:val="44"/>
          <w:szCs w:val="44"/>
          <w:highlight w:val="none"/>
        </w:rPr>
      </w:pPr>
      <w:r>
        <w:rPr>
          <w:rFonts w:hint="eastAsia" w:ascii="方正大标宋_GBK" w:hAnsi="方正大标宋_GBK" w:eastAsia="方正大标宋_GBK" w:cs="方正大标宋_GBK"/>
          <w:bCs/>
          <w:color w:val="auto"/>
          <w:sz w:val="44"/>
          <w:szCs w:val="44"/>
          <w:highlight w:val="none"/>
        </w:rPr>
        <w:t>202</w:t>
      </w:r>
      <w:r>
        <w:rPr>
          <w:rFonts w:hint="eastAsia" w:ascii="方正大标宋_GBK" w:hAnsi="方正大标宋_GBK" w:eastAsia="方正大标宋_GBK" w:cs="方正大标宋_GBK"/>
          <w:bCs/>
          <w:color w:val="auto"/>
          <w:sz w:val="44"/>
          <w:szCs w:val="44"/>
          <w:highlight w:val="none"/>
          <w:lang w:val="en-US" w:eastAsia="zh-CN"/>
        </w:rPr>
        <w:t>6</w:t>
      </w:r>
      <w:r>
        <w:rPr>
          <w:rFonts w:hint="eastAsia" w:ascii="方正大标宋_GBK" w:hAnsi="方正大标宋_GBK" w:eastAsia="方正大标宋_GBK" w:cs="方正大标宋_GBK"/>
          <w:bCs/>
          <w:color w:val="auto"/>
          <w:sz w:val="44"/>
          <w:szCs w:val="44"/>
          <w:highlight w:val="none"/>
        </w:rPr>
        <w:t>年常年法律顾问服务项目采购方案</w:t>
      </w:r>
    </w:p>
    <w:p>
      <w:pPr>
        <w:spacing w:line="560" w:lineRule="exact"/>
        <w:jc w:val="center"/>
        <w:rPr>
          <w:b/>
          <w:color w:val="auto"/>
          <w:sz w:val="36"/>
          <w:highlight w:val="none"/>
        </w:rPr>
      </w:pP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为确保</w:t>
      </w:r>
      <w:r>
        <w:rPr>
          <w:rFonts w:hint="eastAsia" w:ascii="仿宋_GB2312" w:eastAsia="仿宋_GB2312"/>
          <w:color w:val="auto"/>
          <w:sz w:val="32"/>
          <w:szCs w:val="32"/>
          <w:highlight w:val="none"/>
          <w:lang w:eastAsia="zh-CN"/>
        </w:rPr>
        <w:t>中心</w:t>
      </w:r>
      <w:r>
        <w:rPr>
          <w:rFonts w:hint="eastAsia" w:ascii="仿宋_GB2312" w:eastAsia="仿宋_GB2312"/>
          <w:color w:val="auto"/>
          <w:sz w:val="32"/>
          <w:szCs w:val="32"/>
          <w:highlight w:val="none"/>
        </w:rPr>
        <w:t>法律顾问服务正常开展，现拟对202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年度法律顾问服务项目进行采购工作，特制定本采购方案。</w:t>
      </w:r>
    </w:p>
    <w:p>
      <w:pPr>
        <w:numPr>
          <w:ilvl w:val="0"/>
          <w:numId w:val="1"/>
        </w:numPr>
        <w:spacing w:line="560" w:lineRule="exact"/>
        <w:ind w:firstLine="640" w:firstLineChars="200"/>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法律顾问服务项目内容</w:t>
      </w:r>
    </w:p>
    <w:p>
      <w:pPr>
        <w:numPr>
          <w:ilvl w:val="-1"/>
          <w:numId w:val="0"/>
        </w:numPr>
        <w:spacing w:line="560" w:lineRule="exact"/>
        <w:ind w:firstLine="640" w:firstLineChars="200"/>
        <w:rPr>
          <w:rFonts w:hint="eastAsia" w:ascii="仿宋_GB2312" w:eastAsia="仿宋_GB2312" w:hAnsiTheme="minorHAnsi" w:cstheme="minorBidi"/>
          <w:color w:val="auto"/>
          <w:sz w:val="32"/>
          <w:szCs w:val="32"/>
          <w:highlight w:val="none"/>
        </w:rPr>
      </w:pPr>
      <w:r>
        <w:rPr>
          <w:rFonts w:hint="eastAsia" w:ascii="仿宋_GB2312" w:eastAsia="仿宋_GB2312" w:hAnsiTheme="minorHAnsi" w:cstheme="minorBidi"/>
          <w:color w:val="auto"/>
          <w:sz w:val="32"/>
          <w:szCs w:val="32"/>
          <w:highlight w:val="none"/>
        </w:rPr>
        <w:t>（</w:t>
      </w:r>
      <w:r>
        <w:rPr>
          <w:rFonts w:hint="eastAsia" w:ascii="仿宋_GB2312" w:eastAsia="仿宋_GB2312" w:cstheme="minorBidi"/>
          <w:color w:val="auto"/>
          <w:sz w:val="32"/>
          <w:szCs w:val="32"/>
          <w:highlight w:val="none"/>
          <w:lang w:eastAsia="zh-CN"/>
        </w:rPr>
        <w:t>一</w:t>
      </w:r>
      <w:r>
        <w:rPr>
          <w:rFonts w:hint="eastAsia" w:ascii="仿宋_GB2312" w:eastAsia="仿宋_GB2312" w:hAnsiTheme="minorHAnsi" w:cstheme="minorBidi"/>
          <w:color w:val="auto"/>
          <w:sz w:val="32"/>
          <w:szCs w:val="32"/>
          <w:highlight w:val="none"/>
        </w:rPr>
        <w:t>）为甲方提供法律咨询意见，必要时应甲方要求直接参与甲方的会议以及单项事务讨论会议，提供法律意见；</w:t>
      </w:r>
      <w:r>
        <w:rPr>
          <w:rFonts w:hint="eastAsia" w:ascii="仿宋_GB2312" w:eastAsia="仿宋_GB2312" w:hAnsiTheme="minorHAnsi" w:cstheme="minorBidi"/>
          <w:color w:val="auto"/>
          <w:sz w:val="32"/>
          <w:szCs w:val="32"/>
          <w:highlight w:val="none"/>
        </w:rPr>
        <w:br w:type="textWrapping"/>
      </w:r>
      <w:r>
        <w:rPr>
          <w:rFonts w:hint="eastAsia" w:ascii="仿宋_GB2312" w:eastAsia="仿宋_GB2312" w:cstheme="minorBidi"/>
          <w:color w:val="auto"/>
          <w:sz w:val="32"/>
          <w:szCs w:val="32"/>
          <w:highlight w:val="none"/>
          <w:lang w:val="en-US" w:eastAsia="zh-CN"/>
        </w:rPr>
        <w:t xml:space="preserve">    </w:t>
      </w:r>
      <w:r>
        <w:rPr>
          <w:rFonts w:hint="eastAsia" w:ascii="仿宋_GB2312" w:eastAsia="仿宋_GB2312" w:hAnsiTheme="minorHAnsi" w:cstheme="minorBidi"/>
          <w:color w:val="auto"/>
          <w:sz w:val="32"/>
          <w:szCs w:val="32"/>
          <w:highlight w:val="none"/>
        </w:rPr>
        <w:t>（二）参与地方性法规、政府规章草案、党内法规草案和规范性文件送审稿的起草、论证；</w:t>
      </w:r>
      <w:r>
        <w:rPr>
          <w:rFonts w:hint="eastAsia" w:ascii="仿宋_GB2312" w:eastAsia="仿宋_GB2312" w:hAnsiTheme="minorHAnsi" w:cstheme="minorBidi"/>
          <w:color w:val="auto"/>
          <w:sz w:val="32"/>
          <w:szCs w:val="32"/>
          <w:highlight w:val="none"/>
        </w:rPr>
        <w:br w:type="textWrapping"/>
      </w:r>
      <w:r>
        <w:rPr>
          <w:rFonts w:hint="eastAsia" w:ascii="仿宋_GB2312" w:eastAsia="仿宋_GB2312" w:cstheme="minorBidi"/>
          <w:color w:val="auto"/>
          <w:sz w:val="32"/>
          <w:szCs w:val="32"/>
          <w:highlight w:val="none"/>
          <w:lang w:val="en-US" w:eastAsia="zh-CN"/>
        </w:rPr>
        <w:t xml:space="preserve">    </w:t>
      </w:r>
      <w:r>
        <w:rPr>
          <w:rFonts w:hint="eastAsia" w:ascii="仿宋_GB2312" w:eastAsia="仿宋_GB2312" w:hAnsiTheme="minorHAnsi" w:cstheme="minorBidi"/>
          <w:color w:val="auto"/>
          <w:sz w:val="32"/>
          <w:szCs w:val="32"/>
          <w:highlight w:val="none"/>
        </w:rPr>
        <w:t>（三）参与合作项目的洽谈，协助起草、修改重要的法律文书或者重大合同；</w:t>
      </w:r>
      <w:r>
        <w:rPr>
          <w:rFonts w:hint="eastAsia" w:ascii="仿宋_GB2312" w:eastAsia="仿宋_GB2312" w:hAnsiTheme="minorHAnsi" w:cstheme="minorBidi"/>
          <w:color w:val="auto"/>
          <w:sz w:val="32"/>
          <w:szCs w:val="32"/>
          <w:highlight w:val="none"/>
        </w:rPr>
        <w:br w:type="textWrapping"/>
      </w:r>
      <w:r>
        <w:rPr>
          <w:rFonts w:hint="eastAsia" w:ascii="仿宋_GB2312" w:eastAsia="仿宋_GB2312" w:cstheme="minorBidi"/>
          <w:color w:val="auto"/>
          <w:sz w:val="32"/>
          <w:szCs w:val="32"/>
          <w:highlight w:val="none"/>
          <w:lang w:val="en-US" w:eastAsia="zh-CN"/>
        </w:rPr>
        <w:t xml:space="preserve">    </w:t>
      </w:r>
      <w:r>
        <w:rPr>
          <w:rFonts w:hint="eastAsia" w:ascii="仿宋_GB2312" w:eastAsia="仿宋_GB2312" w:hAnsiTheme="minorHAnsi" w:cstheme="minorBidi"/>
          <w:color w:val="auto"/>
          <w:sz w:val="32"/>
          <w:szCs w:val="32"/>
          <w:highlight w:val="none"/>
        </w:rPr>
        <w:t>（四）应甲方要求，进行法律宣传、教育和培训；</w:t>
      </w:r>
      <w:r>
        <w:rPr>
          <w:rFonts w:hint="eastAsia" w:ascii="仿宋_GB2312" w:eastAsia="仿宋_GB2312" w:hAnsiTheme="minorHAnsi" w:cstheme="minorBidi"/>
          <w:color w:val="auto"/>
          <w:sz w:val="32"/>
          <w:szCs w:val="32"/>
          <w:highlight w:val="none"/>
        </w:rPr>
        <w:br w:type="textWrapping"/>
      </w:r>
      <w:r>
        <w:rPr>
          <w:rFonts w:hint="eastAsia" w:ascii="仿宋_GB2312" w:eastAsia="仿宋_GB2312" w:cstheme="minorBidi"/>
          <w:color w:val="auto"/>
          <w:sz w:val="32"/>
          <w:szCs w:val="32"/>
          <w:highlight w:val="none"/>
          <w:lang w:val="en-US" w:eastAsia="zh-CN"/>
        </w:rPr>
        <w:t xml:space="preserve">    </w:t>
      </w:r>
      <w:r>
        <w:rPr>
          <w:rFonts w:hint="eastAsia" w:ascii="仿宋_GB2312" w:eastAsia="仿宋_GB2312" w:hAnsiTheme="minorHAnsi" w:cstheme="minorBidi"/>
          <w:color w:val="auto"/>
          <w:sz w:val="32"/>
          <w:szCs w:val="32"/>
          <w:highlight w:val="none"/>
        </w:rPr>
        <w:t>（五）为甲方的重大决策、重大行政行为提供法律意见及进行风险评估和法律论证；</w:t>
      </w:r>
      <w:r>
        <w:rPr>
          <w:rFonts w:hint="eastAsia" w:ascii="仿宋_GB2312" w:eastAsia="仿宋_GB2312" w:hAnsiTheme="minorHAnsi" w:cstheme="minorBidi"/>
          <w:color w:val="auto"/>
          <w:sz w:val="32"/>
          <w:szCs w:val="32"/>
          <w:highlight w:val="none"/>
        </w:rPr>
        <w:br w:type="textWrapping"/>
      </w:r>
      <w:r>
        <w:rPr>
          <w:rFonts w:hint="eastAsia" w:ascii="仿宋_GB2312" w:eastAsia="仿宋_GB2312" w:cstheme="minorBidi"/>
          <w:color w:val="auto"/>
          <w:sz w:val="32"/>
          <w:szCs w:val="32"/>
          <w:highlight w:val="none"/>
          <w:lang w:val="en-US" w:eastAsia="zh-CN"/>
        </w:rPr>
        <w:t xml:space="preserve">    </w:t>
      </w:r>
      <w:r>
        <w:rPr>
          <w:rFonts w:hint="eastAsia" w:ascii="仿宋_GB2312" w:eastAsia="仿宋_GB2312" w:hAnsiTheme="minorHAnsi" w:cstheme="minorBidi"/>
          <w:color w:val="auto"/>
          <w:sz w:val="32"/>
          <w:szCs w:val="32"/>
          <w:highlight w:val="none"/>
        </w:rPr>
        <w:t>（六）协助甲方设计、制定各项管理制度、规范各种运作程序；</w:t>
      </w:r>
      <w:r>
        <w:rPr>
          <w:rFonts w:hint="eastAsia" w:ascii="仿宋_GB2312" w:eastAsia="仿宋_GB2312" w:hAnsiTheme="minorHAnsi" w:cstheme="minorBidi"/>
          <w:color w:val="auto"/>
          <w:sz w:val="32"/>
          <w:szCs w:val="32"/>
          <w:highlight w:val="none"/>
        </w:rPr>
        <w:br w:type="textWrapping"/>
      </w:r>
      <w:r>
        <w:rPr>
          <w:rFonts w:hint="eastAsia" w:ascii="仿宋_GB2312" w:eastAsia="仿宋_GB2312" w:cstheme="minorBidi"/>
          <w:color w:val="auto"/>
          <w:sz w:val="32"/>
          <w:szCs w:val="32"/>
          <w:highlight w:val="none"/>
          <w:lang w:val="en-US" w:eastAsia="zh-CN"/>
        </w:rPr>
        <w:t xml:space="preserve">    </w:t>
      </w:r>
      <w:r>
        <w:rPr>
          <w:rFonts w:hint="eastAsia" w:ascii="仿宋_GB2312" w:eastAsia="仿宋_GB2312" w:hAnsiTheme="minorHAnsi" w:cstheme="minorBidi"/>
          <w:color w:val="auto"/>
          <w:sz w:val="32"/>
          <w:szCs w:val="32"/>
          <w:highlight w:val="none"/>
        </w:rPr>
        <w:t>（七）应甲方请求，协助清理债权债务；</w:t>
      </w:r>
      <w:r>
        <w:rPr>
          <w:rFonts w:hint="eastAsia" w:ascii="仿宋_GB2312" w:eastAsia="仿宋_GB2312" w:hAnsiTheme="minorHAnsi" w:cstheme="minorBidi"/>
          <w:color w:val="auto"/>
          <w:sz w:val="32"/>
          <w:szCs w:val="32"/>
          <w:highlight w:val="none"/>
        </w:rPr>
        <w:br w:type="textWrapping"/>
      </w:r>
      <w:r>
        <w:rPr>
          <w:rFonts w:hint="eastAsia" w:ascii="仿宋_GB2312" w:eastAsia="仿宋_GB2312" w:cstheme="minorBidi"/>
          <w:color w:val="auto"/>
          <w:sz w:val="32"/>
          <w:szCs w:val="32"/>
          <w:highlight w:val="none"/>
          <w:lang w:val="en-US" w:eastAsia="zh-CN"/>
        </w:rPr>
        <w:t xml:space="preserve">    </w:t>
      </w:r>
      <w:r>
        <w:rPr>
          <w:rFonts w:hint="eastAsia" w:ascii="仿宋_GB2312" w:eastAsia="仿宋_GB2312" w:hAnsiTheme="minorHAnsi" w:cstheme="minorBidi"/>
          <w:color w:val="auto"/>
          <w:sz w:val="32"/>
          <w:szCs w:val="32"/>
          <w:highlight w:val="none"/>
        </w:rPr>
        <w:t>（八）应甲方要求，对外出具律师函、法律意见书等法律文书；</w:t>
      </w:r>
      <w:r>
        <w:rPr>
          <w:rFonts w:hint="eastAsia" w:ascii="仿宋_GB2312" w:eastAsia="仿宋_GB2312" w:hAnsiTheme="minorHAnsi" w:cstheme="minorBidi"/>
          <w:color w:val="auto"/>
          <w:sz w:val="32"/>
          <w:szCs w:val="32"/>
          <w:highlight w:val="none"/>
        </w:rPr>
        <w:br w:type="textWrapping"/>
      </w:r>
      <w:r>
        <w:rPr>
          <w:rFonts w:hint="eastAsia" w:ascii="仿宋_GB2312" w:eastAsia="仿宋_GB2312" w:cstheme="minorBidi"/>
          <w:color w:val="auto"/>
          <w:sz w:val="32"/>
          <w:szCs w:val="32"/>
          <w:highlight w:val="none"/>
          <w:lang w:val="en-US" w:eastAsia="zh-CN"/>
        </w:rPr>
        <w:t xml:space="preserve">    </w:t>
      </w:r>
      <w:r>
        <w:rPr>
          <w:rFonts w:hint="eastAsia" w:ascii="仿宋_GB2312" w:eastAsia="仿宋_GB2312" w:hAnsiTheme="minorHAnsi" w:cstheme="minorBidi"/>
          <w:color w:val="auto"/>
          <w:sz w:val="32"/>
          <w:szCs w:val="32"/>
          <w:highlight w:val="none"/>
        </w:rPr>
        <w:t>（九）为甲方重大业务活动拟定谈判方案、制定法律对策、提供法律见证、出具律师见证书等；</w:t>
      </w:r>
      <w:r>
        <w:rPr>
          <w:rFonts w:hint="eastAsia" w:ascii="仿宋_GB2312" w:eastAsia="仿宋_GB2312" w:hAnsiTheme="minorHAnsi" w:cstheme="minorBidi"/>
          <w:color w:val="auto"/>
          <w:sz w:val="32"/>
          <w:szCs w:val="32"/>
          <w:highlight w:val="none"/>
        </w:rPr>
        <w:br w:type="textWrapping"/>
      </w:r>
      <w:r>
        <w:rPr>
          <w:rFonts w:hint="eastAsia" w:ascii="仿宋_GB2312" w:eastAsia="仿宋_GB2312" w:cstheme="minorBidi"/>
          <w:color w:val="auto"/>
          <w:sz w:val="32"/>
          <w:szCs w:val="32"/>
          <w:highlight w:val="none"/>
          <w:lang w:val="en-US" w:eastAsia="zh-CN"/>
        </w:rPr>
        <w:t xml:space="preserve">    </w:t>
      </w:r>
      <w:r>
        <w:rPr>
          <w:rFonts w:hint="eastAsia" w:ascii="仿宋_GB2312" w:eastAsia="仿宋_GB2312" w:hAnsiTheme="minorHAnsi" w:cstheme="minorBidi"/>
          <w:color w:val="auto"/>
          <w:sz w:val="32"/>
          <w:szCs w:val="32"/>
          <w:highlight w:val="none"/>
        </w:rPr>
        <w:t>（十）接受甲方授权，通过报刊、杂志、广播、电视等公众传播媒体发表公开声明，申张甲方合法权益；</w:t>
      </w:r>
      <w:r>
        <w:rPr>
          <w:rFonts w:hint="eastAsia" w:ascii="仿宋_GB2312" w:eastAsia="仿宋_GB2312" w:hAnsiTheme="minorHAnsi" w:cstheme="minorBidi"/>
          <w:color w:val="auto"/>
          <w:sz w:val="32"/>
          <w:szCs w:val="32"/>
          <w:highlight w:val="none"/>
        </w:rPr>
        <w:br w:type="textWrapping"/>
      </w:r>
      <w:r>
        <w:rPr>
          <w:rFonts w:hint="eastAsia" w:ascii="仿宋_GB2312" w:eastAsia="仿宋_GB2312" w:cstheme="minorBidi"/>
          <w:color w:val="auto"/>
          <w:sz w:val="32"/>
          <w:szCs w:val="32"/>
          <w:highlight w:val="none"/>
          <w:lang w:val="en-US" w:eastAsia="zh-CN"/>
        </w:rPr>
        <w:t xml:space="preserve">    </w:t>
      </w:r>
      <w:r>
        <w:rPr>
          <w:rFonts w:hint="eastAsia" w:ascii="仿宋_GB2312" w:eastAsia="仿宋_GB2312" w:hAnsiTheme="minorHAnsi" w:cstheme="minorBidi"/>
          <w:color w:val="auto"/>
          <w:sz w:val="32"/>
          <w:szCs w:val="32"/>
          <w:highlight w:val="none"/>
        </w:rPr>
        <w:t>（十一）根据甲方业务需要，以特有资格进行资信调查，出具资信调查报告；</w:t>
      </w:r>
      <w:r>
        <w:rPr>
          <w:rFonts w:hint="eastAsia" w:ascii="仿宋_GB2312" w:eastAsia="仿宋_GB2312" w:hAnsiTheme="minorHAnsi" w:cstheme="minorBidi"/>
          <w:color w:val="auto"/>
          <w:sz w:val="32"/>
          <w:szCs w:val="32"/>
          <w:highlight w:val="none"/>
        </w:rPr>
        <w:br w:type="textWrapping"/>
      </w:r>
      <w:r>
        <w:rPr>
          <w:rFonts w:hint="eastAsia" w:ascii="仿宋_GB2312" w:eastAsia="仿宋_GB2312" w:cstheme="minorBidi"/>
          <w:color w:val="auto"/>
          <w:sz w:val="32"/>
          <w:szCs w:val="32"/>
          <w:highlight w:val="none"/>
          <w:lang w:val="en-US" w:eastAsia="zh-CN"/>
        </w:rPr>
        <w:t xml:space="preserve">    </w:t>
      </w:r>
      <w:r>
        <w:rPr>
          <w:rFonts w:hint="eastAsia" w:ascii="仿宋_GB2312" w:eastAsia="仿宋_GB2312" w:hAnsiTheme="minorHAnsi" w:cstheme="minorBidi"/>
          <w:color w:val="auto"/>
          <w:sz w:val="32"/>
          <w:szCs w:val="32"/>
          <w:highlight w:val="none"/>
        </w:rPr>
        <w:t>（十二）为甲方审查行政执法案件及相应的法律文书，对案件和文书的合法、合规性出具法律意见书；</w:t>
      </w:r>
      <w:r>
        <w:rPr>
          <w:rFonts w:hint="eastAsia" w:ascii="仿宋_GB2312" w:eastAsia="仿宋_GB2312" w:hAnsiTheme="minorHAnsi" w:cstheme="minorBidi"/>
          <w:color w:val="auto"/>
          <w:sz w:val="32"/>
          <w:szCs w:val="32"/>
          <w:highlight w:val="none"/>
        </w:rPr>
        <w:br w:type="textWrapping"/>
      </w:r>
      <w:r>
        <w:rPr>
          <w:rFonts w:hint="eastAsia" w:ascii="仿宋_GB2312" w:eastAsia="仿宋_GB2312" w:cstheme="minorBidi"/>
          <w:color w:val="auto"/>
          <w:sz w:val="32"/>
          <w:szCs w:val="32"/>
          <w:highlight w:val="none"/>
          <w:lang w:val="en-US" w:eastAsia="zh-CN"/>
        </w:rPr>
        <w:t xml:space="preserve">    </w:t>
      </w:r>
      <w:r>
        <w:rPr>
          <w:rFonts w:hint="eastAsia" w:ascii="仿宋_GB2312" w:eastAsia="仿宋_GB2312" w:hAnsiTheme="minorHAnsi" w:cstheme="minorBidi"/>
          <w:color w:val="auto"/>
          <w:sz w:val="32"/>
          <w:szCs w:val="32"/>
          <w:highlight w:val="none"/>
        </w:rPr>
        <w:t>（十三）代理甲方的诉讼、仲裁、调解、申诉、复议等案件的全部法律程序（庭审前参与案件研究，对案件进行风险评估，审查整理证据材料，拟定法律文书，经甲方审查盖章后提交法院：庭审应按时出庭应诉，积极为甲方主张权利，维护甲方合法权益；庭审后反馈案件审理情况，分析管理漏洞，提出书面改进建议：涉案资料原件及时送甲方存档</w:t>
      </w:r>
      <w:r>
        <w:rPr>
          <w:rFonts w:hint="eastAsia" w:ascii="仿宋_GB2312" w:eastAsia="仿宋_GB2312" w:hAnsiTheme="minorHAnsi" w:cstheme="minorBidi"/>
          <w:color w:val="auto"/>
          <w:sz w:val="32"/>
          <w:szCs w:val="32"/>
          <w:highlight w:val="none"/>
          <w:lang w:eastAsia="zh-CN"/>
        </w:rPr>
        <w:t>；</w:t>
      </w:r>
      <w:r>
        <w:rPr>
          <w:rFonts w:hint="eastAsia" w:ascii="仿宋_GB2312" w:eastAsia="仿宋_GB2312" w:hAnsiTheme="minorHAnsi" w:cstheme="minorBidi"/>
          <w:color w:val="auto"/>
          <w:sz w:val="32"/>
          <w:szCs w:val="32"/>
          <w:highlight w:val="none"/>
          <w:lang w:val="en-US" w:eastAsia="zh-CN"/>
        </w:rPr>
        <w:t>收到案件裁判文书后，及时报告案件裁判结果</w:t>
      </w:r>
      <w:r>
        <w:rPr>
          <w:rFonts w:hint="eastAsia" w:ascii="仿宋_GB2312" w:eastAsia="仿宋_GB2312" w:hAnsiTheme="minorHAnsi" w:cstheme="minorBidi"/>
          <w:color w:val="auto"/>
          <w:sz w:val="32"/>
          <w:szCs w:val="32"/>
          <w:highlight w:val="none"/>
        </w:rPr>
        <w:t>）；</w:t>
      </w:r>
      <w:r>
        <w:rPr>
          <w:rFonts w:hint="eastAsia" w:ascii="仿宋_GB2312" w:eastAsia="仿宋_GB2312" w:hAnsiTheme="minorHAnsi" w:cstheme="minorBidi"/>
          <w:color w:val="auto"/>
          <w:sz w:val="32"/>
          <w:szCs w:val="32"/>
          <w:highlight w:val="none"/>
        </w:rPr>
        <w:br w:type="textWrapping"/>
      </w:r>
      <w:r>
        <w:rPr>
          <w:rFonts w:hint="eastAsia" w:ascii="仿宋_GB2312" w:eastAsia="仿宋_GB2312" w:cstheme="minorBidi"/>
          <w:color w:val="auto"/>
          <w:sz w:val="32"/>
          <w:szCs w:val="32"/>
          <w:highlight w:val="none"/>
          <w:lang w:val="en-US" w:eastAsia="zh-CN"/>
        </w:rPr>
        <w:t xml:space="preserve">    </w:t>
      </w:r>
      <w:r>
        <w:rPr>
          <w:rFonts w:hint="eastAsia" w:ascii="仿宋_GB2312" w:eastAsia="仿宋_GB2312" w:hAnsiTheme="minorHAnsi" w:cstheme="minorBidi"/>
          <w:color w:val="auto"/>
          <w:sz w:val="32"/>
          <w:szCs w:val="32"/>
          <w:highlight w:val="none"/>
        </w:rPr>
        <w:t>（十四）为甲方处置涉法涉诉案件、复议审查案件、信访案件和重大突发事件等提供法律服务；</w:t>
      </w:r>
      <w:r>
        <w:rPr>
          <w:rFonts w:hint="eastAsia" w:ascii="仿宋_GB2312" w:eastAsia="仿宋_GB2312" w:hAnsiTheme="minorHAnsi" w:cstheme="minorBidi"/>
          <w:color w:val="auto"/>
          <w:sz w:val="32"/>
          <w:szCs w:val="32"/>
          <w:highlight w:val="none"/>
        </w:rPr>
        <w:br w:type="textWrapping"/>
      </w:r>
      <w:r>
        <w:rPr>
          <w:rFonts w:hint="eastAsia" w:ascii="仿宋_GB2312" w:eastAsia="仿宋_GB2312" w:cstheme="minorBidi"/>
          <w:color w:val="auto"/>
          <w:sz w:val="32"/>
          <w:szCs w:val="32"/>
          <w:highlight w:val="none"/>
          <w:lang w:val="en-US" w:eastAsia="zh-CN"/>
        </w:rPr>
        <w:t xml:space="preserve">    </w:t>
      </w:r>
      <w:r>
        <w:rPr>
          <w:rFonts w:hint="eastAsia" w:ascii="仿宋_GB2312" w:eastAsia="仿宋_GB2312" w:hAnsiTheme="minorHAnsi" w:cstheme="minorBidi"/>
          <w:color w:val="auto"/>
          <w:sz w:val="32"/>
          <w:szCs w:val="32"/>
          <w:highlight w:val="none"/>
        </w:rPr>
        <w:t>（十五）针对甲方行政执法工作中出现的问题，提出执法建议；</w:t>
      </w:r>
      <w:r>
        <w:rPr>
          <w:rFonts w:hint="eastAsia" w:ascii="仿宋_GB2312" w:eastAsia="仿宋_GB2312" w:hAnsiTheme="minorHAnsi" w:cstheme="minorBidi"/>
          <w:color w:val="auto"/>
          <w:sz w:val="32"/>
          <w:szCs w:val="32"/>
          <w:highlight w:val="none"/>
        </w:rPr>
        <w:br w:type="textWrapping"/>
      </w:r>
      <w:r>
        <w:rPr>
          <w:rFonts w:hint="eastAsia" w:ascii="仿宋_GB2312" w:eastAsia="仿宋_GB2312" w:cstheme="minorBidi"/>
          <w:color w:val="auto"/>
          <w:sz w:val="32"/>
          <w:szCs w:val="32"/>
          <w:highlight w:val="none"/>
          <w:lang w:val="en-US" w:eastAsia="zh-CN"/>
        </w:rPr>
        <w:t xml:space="preserve">    </w:t>
      </w:r>
      <w:r>
        <w:rPr>
          <w:rFonts w:hint="eastAsia" w:ascii="仿宋_GB2312" w:eastAsia="仿宋_GB2312" w:hAnsiTheme="minorHAnsi" w:cstheme="minorBidi"/>
          <w:color w:val="auto"/>
          <w:sz w:val="32"/>
          <w:szCs w:val="32"/>
          <w:highlight w:val="none"/>
        </w:rPr>
        <w:t>（十六）办理甲方委托的其他法律事宜以及履行规定的其他职责。</w:t>
      </w:r>
    </w:p>
    <w:p>
      <w:pPr>
        <w:ind w:firstLine="640" w:firstLineChars="200"/>
        <w:rPr>
          <w:rFonts w:hint="eastAsia" w:ascii="仿宋_GB2312" w:hAnsi="宋体" w:eastAsia="仿宋_GB2312"/>
          <w:color w:val="auto"/>
          <w:sz w:val="32"/>
          <w:szCs w:val="32"/>
          <w:highlight w:val="none"/>
        </w:rPr>
      </w:pPr>
      <w:r>
        <w:rPr>
          <w:rFonts w:hint="eastAsia" w:ascii="方正黑体_GBK" w:hAnsi="方正黑体_GBK" w:eastAsia="方正黑体_GBK" w:cs="方正黑体_GBK"/>
          <w:color w:val="auto"/>
          <w:sz w:val="32"/>
          <w:szCs w:val="32"/>
          <w:highlight w:val="none"/>
        </w:rPr>
        <w:t>二、供应商资格要求</w:t>
      </w:r>
    </w:p>
    <w:p>
      <w:pPr>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（一）依据《江门市住房和城乡建设局法律顾问工作制度》，供应商</w:t>
      </w:r>
      <w:r>
        <w:rPr>
          <w:rFonts w:hint="eastAsia" w:ascii="仿宋_GB2312" w:hAnsi="宋体" w:eastAsia="仿宋_GB2312"/>
          <w:color w:val="auto"/>
          <w:sz w:val="32"/>
          <w:szCs w:val="32"/>
          <w:highlight w:val="none"/>
          <w:lang w:eastAsia="zh-CN"/>
        </w:rPr>
        <w:t>应当指派执业律师作为法律顾问</w:t>
      </w:r>
      <w:r>
        <w:rPr>
          <w:rFonts w:hint="eastAsia" w:ascii="仿宋_GB2312" w:hAnsi="宋体" w:eastAsia="仿宋_GB2312"/>
          <w:color w:val="auto"/>
          <w:sz w:val="32"/>
          <w:szCs w:val="32"/>
          <w:highlight w:val="none"/>
        </w:rPr>
        <w:t>。</w:t>
      </w:r>
    </w:p>
    <w:p>
      <w:pPr>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（二）供应商处理的法务中没有与服务对象有利害冲突。</w:t>
      </w:r>
    </w:p>
    <w:p>
      <w:pPr>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（三）供应商应当具备《政府采购法》第二十二条规定的“供应商参加政府采购活动应当具备的条件”。</w:t>
      </w:r>
    </w:p>
    <w:p>
      <w:pPr>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（四）供应商具备有效的律师事务所执业许可证。</w:t>
      </w:r>
    </w:p>
    <w:p>
      <w:pPr>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五）服务供应商未被列入“信用中国”网站“失信被执行人或重大税收违法案件当事人名单或政府采购严重违法失信行为”记录名单；不处于中国政府采购网（www.ccgp.gov.cn）“政府采购严重违法失信行为信息记录”中的禁止参加政府采购活动期间。</w:t>
      </w:r>
      <w:r>
        <w:rPr>
          <w:rFonts w:ascii="仿宋_GB2312" w:hAnsi="宋体" w:eastAsia="仿宋_GB2312"/>
          <w:color w:val="auto"/>
          <w:sz w:val="32"/>
          <w:szCs w:val="32"/>
          <w:highlight w:val="none"/>
        </w:rPr>
        <w:tab/>
      </w:r>
    </w:p>
    <w:p>
      <w:pPr>
        <w:spacing w:line="560" w:lineRule="exact"/>
        <w:ind w:firstLine="640" w:firstLineChars="200"/>
        <w:rPr>
          <w:rFonts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三、项目期限</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本次采购服务的项目期限为1年，从</w:t>
      </w:r>
      <w:r>
        <w:rPr>
          <w:rFonts w:hint="eastAsia" w:ascii="仿宋_GB2312" w:eastAsia="仿宋_GB2312"/>
          <w:color w:val="auto"/>
          <w:sz w:val="32"/>
          <w:szCs w:val="32"/>
          <w:highlight w:val="none"/>
          <w:lang w:val="en-US" w:eastAsia="zh-CN"/>
        </w:rPr>
        <w:t>2026年4月1日至2027年3月31日</w:t>
      </w:r>
      <w:r>
        <w:rPr>
          <w:rFonts w:hint="eastAsia" w:ascii="仿宋_GB2312" w:eastAsia="仿宋_GB2312"/>
          <w:color w:val="auto"/>
          <w:sz w:val="32"/>
          <w:szCs w:val="32"/>
          <w:highlight w:val="none"/>
        </w:rPr>
        <w:t>。</w:t>
      </w:r>
      <w:bookmarkStart w:id="2" w:name="_GoBack"/>
      <w:bookmarkEnd w:id="2"/>
    </w:p>
    <w:p>
      <w:pPr>
        <w:spacing w:line="560" w:lineRule="exact"/>
        <w:ind w:firstLine="640" w:firstLineChars="200"/>
        <w:rPr>
          <w:rFonts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四、采购方式</w:t>
      </w:r>
    </w:p>
    <w:p>
      <w:pPr>
        <w:spacing w:line="56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rPr>
        <w:t>本项目属于《广东省政府集中采购目录及标准（2020年版）》的范畴，拟在“广东政府采购智慧云平台”系统电子卖场采用定点议价方式实施采购。按照《江门市住房和城乡建设局自行采购管理办法》和《江门市住房和城乡建设局关于广东省网上中介服务超市和广东政府采购智慧云平台实施采购操作细则（试行）》规定成立采购工作小组，对三家及以上服务供应机构开展综合评定（评审内容附后），以综合评定得分最高者为中选机构。</w:t>
      </w:r>
    </w:p>
    <w:p>
      <w:pPr>
        <w:spacing w:line="560" w:lineRule="exact"/>
        <w:ind w:firstLine="640" w:firstLineChars="200"/>
        <w:rPr>
          <w:rFonts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五、项目费用和支付方式</w:t>
      </w:r>
    </w:p>
    <w:p>
      <w:pPr>
        <w:spacing w:line="56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rPr>
        <w:t>本项目服务采购费用是完成服务内容及要求的含税全包价，采取总价包干方式,所有价格变动的风险均由供应商承担。</w:t>
      </w:r>
    </w:p>
    <w:p>
      <w:pPr>
        <w:spacing w:line="560" w:lineRule="exact"/>
        <w:ind w:firstLine="64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本项目采购费用资金概算为人民币捌万元整（￥80,000.00元），价格构成见下表。</w:t>
      </w:r>
    </w:p>
    <w:p>
      <w:pPr>
        <w:spacing w:line="560" w:lineRule="exact"/>
        <w:ind w:firstLine="640"/>
        <w:rPr>
          <w:rFonts w:hint="eastAsia" w:ascii="仿宋_GB2312" w:eastAsia="仿宋_GB2312"/>
          <w:color w:val="auto"/>
          <w:sz w:val="32"/>
          <w:szCs w:val="32"/>
          <w:highlight w:val="none"/>
        </w:rPr>
      </w:pPr>
    </w:p>
    <w:p>
      <w:pPr>
        <w:spacing w:line="560" w:lineRule="exact"/>
        <w:ind w:firstLine="640"/>
        <w:rPr>
          <w:rFonts w:hint="eastAsia" w:ascii="仿宋_GB2312" w:eastAsia="仿宋_GB2312"/>
          <w:color w:val="auto"/>
          <w:sz w:val="32"/>
          <w:szCs w:val="32"/>
          <w:highlight w:val="none"/>
        </w:rPr>
      </w:pPr>
    </w:p>
    <w:tbl>
      <w:tblPr>
        <w:tblStyle w:val="5"/>
        <w:tblW w:w="8445" w:type="dxa"/>
        <w:jc w:val="center"/>
        <w:tblLayout w:type="autofit"/>
        <w:tblCellMar>
          <w:top w:w="0" w:type="dxa"/>
          <w:left w:w="108" w:type="dxa"/>
          <w:bottom w:w="0" w:type="dxa"/>
          <w:right w:w="108" w:type="dxa"/>
        </w:tblCellMar>
      </w:tblPr>
      <w:tblGrid>
        <w:gridCol w:w="733"/>
        <w:gridCol w:w="3560"/>
        <w:gridCol w:w="1416"/>
        <w:gridCol w:w="1416"/>
        <w:gridCol w:w="1320"/>
      </w:tblGrid>
      <w:tr>
        <w:tblPrEx>
          <w:tblCellMar>
            <w:top w:w="0" w:type="dxa"/>
            <w:left w:w="108" w:type="dxa"/>
            <w:bottom w:w="0" w:type="dxa"/>
            <w:right w:w="108" w:type="dxa"/>
          </w:tblCellMar>
        </w:tblPrEx>
        <w:trPr>
          <w:trHeight w:val="585" w:hRule="atLeast"/>
          <w:jc w:val="center"/>
        </w:trPr>
        <w:tc>
          <w:tcPr>
            <w:tcW w:w="84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highlight w:val="none"/>
              </w:rPr>
            </w:pPr>
            <w:bookmarkStart w:id="0" w:name="OLE_LINK2" w:colFirst="0" w:colLast="0"/>
            <w:r>
              <w:rPr>
                <w:rFonts w:ascii="仿宋_GB2312" w:hAnsi="仿宋_GB2312" w:eastAsia="仿宋_GB2312" w:cs="仿宋_GB2312"/>
                <w:color w:val="000000"/>
                <w:kern w:val="0"/>
                <w:sz w:val="24"/>
                <w:szCs w:val="24"/>
                <w:highlight w:val="none"/>
                <w:lang w:bidi="ar"/>
              </w:rPr>
              <w:t>202</w:t>
            </w:r>
            <w:r>
              <w:rPr>
                <w:rFonts w:hint="eastAsia" w:ascii="仿宋_GB2312" w:hAnsi="仿宋_GB2312" w:eastAsia="仿宋_GB2312" w:cs="仿宋_GB2312"/>
                <w:color w:val="000000"/>
                <w:kern w:val="0"/>
                <w:sz w:val="24"/>
                <w:szCs w:val="24"/>
                <w:highlight w:val="none"/>
                <w:lang w:val="en-US" w:eastAsia="zh-CN" w:bidi="ar"/>
              </w:rPr>
              <w:t>6</w:t>
            </w:r>
            <w:r>
              <w:rPr>
                <w:rFonts w:ascii="仿宋_GB2312" w:hAnsi="仿宋_GB2312" w:eastAsia="仿宋_GB2312" w:cs="仿宋_GB2312"/>
                <w:color w:val="000000"/>
                <w:kern w:val="0"/>
                <w:sz w:val="24"/>
                <w:szCs w:val="24"/>
                <w:highlight w:val="none"/>
                <w:lang w:bidi="ar"/>
              </w:rPr>
              <w:t>年度法律顾问服务项目资金概算构成</w:t>
            </w:r>
          </w:p>
        </w:tc>
      </w:tr>
      <w:tr>
        <w:tblPrEx>
          <w:tblCellMar>
            <w:top w:w="0" w:type="dxa"/>
            <w:left w:w="108" w:type="dxa"/>
            <w:bottom w:w="0" w:type="dxa"/>
            <w:right w:w="108" w:type="dxa"/>
          </w:tblCellMar>
        </w:tblPrEx>
        <w:trPr>
          <w:trHeight w:val="5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序号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服务内容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预估办件数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总价（元）（含税）</w:t>
            </w:r>
          </w:p>
        </w:tc>
      </w:tr>
      <w:tr>
        <w:tblPrEx>
          <w:tblCellMar>
            <w:top w:w="0" w:type="dxa"/>
            <w:left w:w="108" w:type="dxa"/>
            <w:bottom w:w="0" w:type="dxa"/>
            <w:right w:w="108" w:type="dxa"/>
          </w:tblCellMar>
        </w:tblPrEx>
        <w:trPr>
          <w:trHeight w:val="4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highlight w:val="none"/>
              </w:rPr>
            </w:pPr>
            <w:bookmarkStart w:id="1" w:name="OLE_LINK1" w:colFirst="1" w:colLast="2"/>
            <w:r>
              <w:rPr>
                <w:rFonts w:ascii="仿宋_GB2312" w:hAnsi="仿宋_GB2312" w:eastAsia="仿宋_GB2312" w:cs="仿宋_GB2312"/>
                <w:color w:val="000000"/>
                <w:kern w:val="0"/>
                <w:sz w:val="24"/>
                <w:szCs w:val="24"/>
                <w:highlight w:val="none"/>
                <w:lang w:bidi="ar"/>
              </w:rPr>
              <w:t>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kern w:val="0"/>
                <w:sz w:val="24"/>
                <w:szCs w:val="24"/>
                <w:highlight w:val="none"/>
                <w:lang w:bidi="ar"/>
              </w:rPr>
              <w:t>202</w:t>
            </w:r>
            <w:r>
              <w:rPr>
                <w:rFonts w:hint="eastAsia" w:ascii="仿宋_GB2312" w:hAnsi="仿宋_GB2312" w:eastAsia="仿宋_GB2312" w:cs="仿宋_GB2312"/>
                <w:color w:val="000000"/>
                <w:kern w:val="0"/>
                <w:sz w:val="24"/>
                <w:szCs w:val="24"/>
                <w:highlight w:val="none"/>
                <w:lang w:val="en-US" w:eastAsia="zh-CN" w:bidi="ar"/>
              </w:rPr>
              <w:t>6</w:t>
            </w:r>
            <w:r>
              <w:rPr>
                <w:rFonts w:ascii="仿宋_GB2312" w:hAnsi="仿宋_GB2312" w:eastAsia="仿宋_GB2312" w:cs="仿宋_GB2312"/>
                <w:color w:val="000000"/>
                <w:kern w:val="0"/>
                <w:sz w:val="24"/>
                <w:szCs w:val="24"/>
                <w:highlight w:val="none"/>
                <w:lang w:bidi="ar"/>
              </w:rPr>
              <w:t>年常规法律顾问服务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kern w:val="0"/>
                <w:sz w:val="24"/>
                <w:szCs w:val="24"/>
                <w:highlight w:val="none"/>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bidi="ar"/>
              </w:rPr>
              <w:t>325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65</w:t>
            </w:r>
            <w:r>
              <w:rPr>
                <w:rFonts w:ascii="仿宋_GB2312" w:hAnsi="仿宋_GB2312" w:eastAsia="仿宋_GB2312" w:cs="仿宋_GB2312"/>
                <w:color w:val="000000"/>
                <w:kern w:val="0"/>
                <w:sz w:val="24"/>
                <w:szCs w:val="24"/>
                <w:highlight w:val="none"/>
                <w:lang w:bidi="ar"/>
              </w:rPr>
              <w:t xml:space="preserve">,000.00 </w:t>
            </w:r>
          </w:p>
        </w:tc>
      </w:tr>
      <w:bookmarkEnd w:id="1"/>
      <w:tr>
        <w:tblPrEx>
          <w:tblCellMar>
            <w:top w:w="0" w:type="dxa"/>
            <w:left w:w="108" w:type="dxa"/>
            <w:bottom w:w="0" w:type="dxa"/>
            <w:right w:w="108" w:type="dxa"/>
          </w:tblCellMar>
        </w:tblPrEx>
        <w:trPr>
          <w:trHeight w:val="7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kern w:val="0"/>
                <w:sz w:val="24"/>
                <w:szCs w:val="24"/>
                <w:highlight w:val="none"/>
                <w:lang w:bidi="ar"/>
              </w:rPr>
              <w:t>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案件（按阶段计算）的诉讼服务</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kern w:val="0"/>
                <w:sz w:val="24"/>
                <w:szCs w:val="24"/>
                <w:highlight w:val="none"/>
                <w:lang w:bidi="ar"/>
              </w:rPr>
              <w:t>3000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kern w:val="0"/>
                <w:sz w:val="24"/>
                <w:szCs w:val="24"/>
                <w:highlight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15</w:t>
            </w:r>
            <w:r>
              <w:rPr>
                <w:rFonts w:ascii="仿宋_GB2312" w:hAnsi="仿宋_GB2312" w:eastAsia="仿宋_GB2312" w:cs="仿宋_GB2312"/>
                <w:color w:val="000000"/>
                <w:kern w:val="0"/>
                <w:sz w:val="24"/>
                <w:szCs w:val="24"/>
                <w:highlight w:val="none"/>
                <w:lang w:bidi="ar"/>
              </w:rPr>
              <w:t xml:space="preserve">,000.00 </w:t>
            </w:r>
          </w:p>
        </w:tc>
      </w:tr>
      <w:tr>
        <w:tblPrEx>
          <w:tblCellMar>
            <w:top w:w="0" w:type="dxa"/>
            <w:left w:w="108" w:type="dxa"/>
            <w:bottom w:w="0" w:type="dxa"/>
            <w:right w:w="108" w:type="dxa"/>
          </w:tblCellMar>
        </w:tblPrEx>
        <w:trPr>
          <w:trHeight w:val="31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合计（含税）</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w:t>
            </w:r>
            <w:r>
              <w:rPr>
                <w:rFonts w:ascii="仿宋_GB2312" w:hAnsi="仿宋_GB2312" w:eastAsia="仿宋_GB2312" w:cs="仿宋_GB2312"/>
                <w:color w:val="000000"/>
                <w:kern w:val="0"/>
                <w:sz w:val="24"/>
                <w:szCs w:val="24"/>
                <w:highlight w:val="none"/>
                <w:lang w:bidi="ar"/>
              </w:rPr>
              <w:t xml:space="preserve">80,000.00 </w:t>
            </w:r>
            <w:r>
              <w:rPr>
                <w:rFonts w:hint="eastAsia" w:ascii="仿宋_GB2312" w:hAnsi="仿宋_GB2312" w:eastAsia="仿宋_GB2312" w:cs="仿宋_GB2312"/>
                <w:color w:val="000000"/>
                <w:kern w:val="0"/>
                <w:sz w:val="24"/>
                <w:szCs w:val="24"/>
                <w:highlight w:val="none"/>
                <w:lang w:bidi="ar"/>
              </w:rPr>
              <w:t>元</w:t>
            </w:r>
          </w:p>
        </w:tc>
      </w:tr>
      <w:tr>
        <w:tblPrEx>
          <w:tblCellMar>
            <w:top w:w="0" w:type="dxa"/>
            <w:left w:w="108" w:type="dxa"/>
            <w:bottom w:w="0" w:type="dxa"/>
            <w:right w:w="108" w:type="dxa"/>
          </w:tblCellMar>
        </w:tblPrEx>
        <w:trPr>
          <w:trHeight w:val="2010" w:hRule="atLeast"/>
          <w:jc w:val="center"/>
        </w:trPr>
        <w:tc>
          <w:tcPr>
            <w:tcW w:w="84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4"/>
                <w:szCs w:val="24"/>
                <w:highlight w:val="none"/>
              </w:rPr>
            </w:pPr>
            <w:r>
              <w:rPr>
                <w:rFonts w:hint="eastAsia" w:ascii="仿宋_GB2312" w:hAnsi="仿宋_GB2312" w:eastAsia="仿宋_GB2312" w:cs="仿宋_GB2312"/>
                <w:color w:val="000000"/>
                <w:kern w:val="0"/>
                <w:sz w:val="24"/>
                <w:szCs w:val="24"/>
                <w:highlight w:val="none"/>
                <w:lang w:bidi="ar"/>
              </w:rPr>
              <w:t>备注：</w:t>
            </w:r>
            <w:r>
              <w:rPr>
                <w:rFonts w:ascii="仿宋_GB2312" w:hAnsi="仿宋_GB2312" w:eastAsia="仿宋_GB2312" w:cs="仿宋_GB2312"/>
                <w:color w:val="000000"/>
                <w:kern w:val="0"/>
                <w:sz w:val="24"/>
                <w:szCs w:val="24"/>
                <w:highlight w:val="none"/>
                <w:lang w:bidi="ar"/>
              </w:rPr>
              <w:br w:type="textWrapping"/>
            </w:r>
            <w:r>
              <w:rPr>
                <w:rFonts w:ascii="仿宋_GB2312" w:hAnsi="仿宋_GB2312" w:eastAsia="仿宋_GB2312" w:cs="仿宋_GB2312"/>
                <w:color w:val="000000"/>
                <w:kern w:val="0"/>
                <w:sz w:val="24"/>
                <w:szCs w:val="24"/>
                <w:highlight w:val="none"/>
                <w:lang w:bidi="ar"/>
              </w:rPr>
              <w:t>1.</w:t>
            </w:r>
            <w:r>
              <w:rPr>
                <w:rFonts w:hint="eastAsia" w:ascii="仿宋_GB2312" w:hAnsi="仿宋_GB2312" w:eastAsia="仿宋_GB2312" w:cs="仿宋_GB2312"/>
                <w:color w:val="000000"/>
                <w:kern w:val="0"/>
                <w:sz w:val="24"/>
                <w:szCs w:val="24"/>
                <w:highlight w:val="none"/>
                <w:lang w:eastAsia="zh-CN" w:bidi="ar"/>
              </w:rPr>
              <w:t>参照</w:t>
            </w:r>
            <w:r>
              <w:rPr>
                <w:rFonts w:ascii="仿宋_GB2312" w:hAnsi="仿宋_GB2312" w:eastAsia="仿宋_GB2312" w:cs="仿宋_GB2312"/>
                <w:color w:val="000000"/>
                <w:kern w:val="0"/>
                <w:sz w:val="24"/>
                <w:szCs w:val="24"/>
                <w:highlight w:val="none"/>
                <w:lang w:bidi="ar"/>
              </w:rPr>
              <w:t>《律师服务收费管理办法》(发改价格[2006]611号)法律服务咨询费用实行市场调节的律师服务收费，根据市场询价，法律咨询服务费市场价格最低为200/件，代理诉讼费市场价格最低为3000/件。</w:t>
            </w:r>
            <w:r>
              <w:rPr>
                <w:rFonts w:ascii="仿宋_GB2312" w:hAnsi="仿宋_GB2312" w:eastAsia="仿宋_GB2312" w:cs="仿宋_GB2312"/>
                <w:color w:val="000000"/>
                <w:kern w:val="0"/>
                <w:sz w:val="24"/>
                <w:szCs w:val="24"/>
                <w:highlight w:val="none"/>
                <w:lang w:bidi="ar"/>
              </w:rPr>
              <w:br w:type="textWrapping"/>
            </w:r>
            <w:r>
              <w:rPr>
                <w:rFonts w:ascii="仿宋_GB2312" w:hAnsi="仿宋_GB2312" w:eastAsia="仿宋_GB2312" w:cs="仿宋_GB2312"/>
                <w:color w:val="000000"/>
                <w:kern w:val="0"/>
                <w:sz w:val="24"/>
                <w:szCs w:val="24"/>
                <w:highlight w:val="none"/>
                <w:lang w:bidi="ar"/>
              </w:rPr>
              <w:t>2.</w:t>
            </w:r>
            <w:r>
              <w:rPr>
                <w:rFonts w:hint="eastAsia" w:ascii="Times New Roman" w:hAnsi="Times New Roman" w:eastAsia="仿宋_GB2312" w:cs="仿宋_GB2312"/>
                <w:color w:val="000000"/>
                <w:kern w:val="0"/>
                <w:sz w:val="24"/>
                <w:szCs w:val="24"/>
                <w:highlight w:val="none"/>
                <w:lang w:val="en-US" w:eastAsia="zh-CN" w:bidi="ar"/>
              </w:rPr>
              <w:t>2026年度</w:t>
            </w:r>
            <w:r>
              <w:rPr>
                <w:rFonts w:hint="eastAsia" w:ascii="Times New Roman" w:hAnsi="Times New Roman" w:eastAsia="仿宋_GB2312" w:cs="仿宋_GB2312"/>
                <w:color w:val="000000"/>
                <w:kern w:val="0"/>
                <w:sz w:val="24"/>
                <w:szCs w:val="24"/>
                <w:highlight w:val="none"/>
                <w:lang w:eastAsia="zh-CN" w:bidi="ar"/>
              </w:rPr>
              <w:t>常规法律顾问服务和</w:t>
            </w:r>
            <w:r>
              <w:rPr>
                <w:rFonts w:hint="eastAsia" w:ascii="仿宋_GB2312" w:hAnsi="仿宋_GB2312" w:eastAsia="仿宋_GB2312" w:cs="仿宋_GB2312"/>
                <w:color w:val="000000"/>
                <w:kern w:val="0"/>
                <w:sz w:val="24"/>
                <w:szCs w:val="24"/>
                <w:highlight w:val="none"/>
                <w:lang w:bidi="ar"/>
              </w:rPr>
              <w:t>案件（按阶段计算）诉讼服务</w:t>
            </w:r>
            <w:r>
              <w:rPr>
                <w:rFonts w:hint="eastAsia" w:ascii="Times New Roman" w:hAnsi="Times New Roman" w:eastAsia="仿宋_GB2312" w:cs="仿宋_GB2312"/>
                <w:color w:val="000000"/>
                <w:kern w:val="0"/>
                <w:sz w:val="24"/>
                <w:szCs w:val="24"/>
                <w:highlight w:val="none"/>
                <w:lang w:eastAsia="zh-CN" w:bidi="ar"/>
              </w:rPr>
              <w:t>办件数按实结算，采取包干方式，即若实际结算服务金额超过含税总价</w:t>
            </w:r>
            <w:r>
              <w:rPr>
                <w:rFonts w:hint="eastAsia" w:ascii="Times New Roman" w:hAnsi="Times New Roman" w:eastAsia="仿宋_GB2312" w:cs="仿宋_GB2312"/>
                <w:color w:val="000000"/>
                <w:kern w:val="0"/>
                <w:sz w:val="24"/>
                <w:szCs w:val="24"/>
                <w:highlight w:val="none"/>
                <w:lang w:val="en-US" w:eastAsia="zh-CN" w:bidi="ar"/>
              </w:rPr>
              <w:t>，亦按照含税总价80000元结算</w:t>
            </w:r>
            <w:r>
              <w:rPr>
                <w:rFonts w:ascii="Times New Roman" w:hAnsi="Times New Roman" w:eastAsia="仿宋_GB2312" w:cs="仿宋_GB2312"/>
                <w:color w:val="000000"/>
                <w:kern w:val="0"/>
                <w:sz w:val="24"/>
                <w:szCs w:val="24"/>
                <w:highlight w:val="none"/>
                <w:lang w:bidi="ar"/>
              </w:rPr>
              <w:t>。</w:t>
            </w:r>
          </w:p>
          <w:p>
            <w:pPr>
              <w:widowControl/>
              <w:jc w:val="left"/>
              <w:textAlignment w:val="center"/>
              <w:rPr>
                <w:rFonts w:ascii="仿宋_GB2312" w:hAnsi="仿宋_GB2312" w:eastAsia="仿宋_GB2312" w:cs="仿宋_GB2312"/>
                <w:color w:val="000000"/>
                <w:kern w:val="0"/>
                <w:sz w:val="24"/>
                <w:szCs w:val="24"/>
                <w:highlight w:val="none"/>
                <w:lang w:bidi="ar"/>
              </w:rPr>
            </w:pPr>
          </w:p>
        </w:tc>
      </w:tr>
      <w:bookmarkEnd w:id="0"/>
    </w:tbl>
    <w:p>
      <w:pPr>
        <w:rPr>
          <w:rFonts w:hint="eastAsia"/>
        </w:rPr>
      </w:pPr>
    </w:p>
    <w:p>
      <w:pPr>
        <w:numPr>
          <w:ilvl w:val="0"/>
          <w:numId w:val="2"/>
        </w:numPr>
        <w:spacing w:line="560" w:lineRule="exact"/>
        <w:ind w:left="-10" w:leftChars="0" w:firstLine="640" w:firstLineChars="0"/>
        <w:rPr>
          <w:rFonts w:ascii="仿宋_GB2312" w:eastAsia="仿宋_GB2312"/>
          <w:color w:val="auto"/>
          <w:sz w:val="32"/>
          <w:szCs w:val="32"/>
          <w:highlight w:val="none"/>
          <w:lang w:val="zh-CN"/>
        </w:rPr>
      </w:pPr>
      <w:r>
        <w:rPr>
          <w:rFonts w:hint="eastAsia" w:ascii="仿宋_GB2312" w:eastAsia="仿宋_GB2312"/>
          <w:color w:val="auto"/>
          <w:sz w:val="32"/>
          <w:szCs w:val="32"/>
          <w:highlight w:val="none"/>
        </w:rPr>
        <w:t>服务费用分</w:t>
      </w:r>
      <w:r>
        <w:rPr>
          <w:rFonts w:hint="eastAsia" w:ascii="仿宋_GB2312" w:eastAsia="仿宋_GB2312"/>
          <w:color w:val="auto"/>
          <w:sz w:val="32"/>
          <w:szCs w:val="32"/>
          <w:highlight w:val="none"/>
          <w:lang w:eastAsia="zh-CN"/>
        </w:rPr>
        <w:t>三</w:t>
      </w:r>
      <w:r>
        <w:rPr>
          <w:rFonts w:hint="eastAsia" w:ascii="仿宋_GB2312" w:eastAsia="仿宋_GB2312"/>
          <w:color w:val="auto"/>
          <w:sz w:val="32"/>
          <w:szCs w:val="32"/>
          <w:highlight w:val="none"/>
        </w:rPr>
        <w:t>期支付，</w:t>
      </w:r>
      <w:r>
        <w:rPr>
          <w:rFonts w:hint="eastAsia" w:ascii="仿宋_GB2312" w:eastAsia="仿宋_GB2312"/>
          <w:color w:val="auto"/>
          <w:sz w:val="32"/>
          <w:szCs w:val="32"/>
          <w:highlight w:val="none"/>
          <w:lang w:val="zh-CN"/>
        </w:rPr>
        <w:t>在合同签订并生效后，采购人支付合同总价的50%作为第一期款(含税);供应商按照有关工作内容和要求开展工作的，采购人在202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lang w:val="zh-CN"/>
        </w:rPr>
        <w:t>年12月15日前支付合同总价的45%作为第二期款(含税);合同期满采购人在</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val="zh-CN"/>
        </w:rPr>
        <w:t>0个工作日内组织验收，验收合格后采购人在20个工作日内支付余下合同尾款(含税)。</w:t>
      </w:r>
    </w:p>
    <w:p>
      <w:pPr>
        <w:spacing w:line="560" w:lineRule="exact"/>
        <w:ind w:firstLine="640"/>
        <w:rPr>
          <w:rFonts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（二）供应商向采购人申请付款时，需先提供相当于采购人付款金额的发票，且收款方、出具发票方、均必须与供应商合同名称一致，否则采购人有权拒绝付款。</w:t>
      </w:r>
    </w:p>
    <w:p>
      <w:pPr>
        <w:spacing w:line="560" w:lineRule="exact"/>
        <w:ind w:firstLine="640"/>
        <w:rPr>
          <w:rFonts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（三）因采购人使用的是财政资金，在前款规定的付款时间为采购经办人发起支付申请手续的时间（不含相关手续审核时间），在规定时间内提出支付申请手续后即视为采购人已经按期支付。</w:t>
      </w:r>
    </w:p>
    <w:p>
      <w:pPr>
        <w:spacing w:line="560" w:lineRule="exact"/>
        <w:ind w:firstLine="640"/>
        <w:rPr>
          <w:rFonts w:ascii="仿宋_GB2312" w:eastAsia="仿宋_GB2312"/>
          <w:color w:val="auto"/>
          <w:sz w:val="32"/>
          <w:szCs w:val="32"/>
          <w:highlight w:val="none"/>
          <w:lang w:val="zh-CN"/>
        </w:rPr>
      </w:pPr>
      <w:r>
        <w:rPr>
          <w:rFonts w:hint="eastAsia" w:ascii="方正仿宋_GBK" w:hAnsi="方正仿宋_GBK" w:eastAsia="方正仿宋_GBK" w:cs="方正仿宋_GBK"/>
          <w:color w:val="auto"/>
          <w:sz w:val="32"/>
          <w:szCs w:val="32"/>
          <w:highlight w:val="none"/>
        </w:rPr>
        <w:t>（四）因资金审批、财政拨款延迟等原因导致未能按时付款，采购人不构成违约。</w:t>
      </w:r>
    </w:p>
    <w:p>
      <w:pPr>
        <w:numPr>
          <w:ilvl w:val="0"/>
          <w:numId w:val="3"/>
        </w:numPr>
        <w:spacing w:line="560" w:lineRule="exact"/>
        <w:ind w:firstLine="640" w:firstLineChars="200"/>
        <w:rPr>
          <w:rFonts w:ascii="方正黑体_GBK" w:hAnsi="方正黑体_GBK" w:eastAsia="方正黑体_GBK" w:cs="方正黑体_GBK"/>
          <w:color w:val="auto"/>
          <w:sz w:val="32"/>
          <w:szCs w:val="32"/>
          <w:highlight w:val="none"/>
          <w:lang w:val="zh-CN"/>
        </w:rPr>
      </w:pPr>
      <w:r>
        <w:rPr>
          <w:rFonts w:hint="eastAsia" w:ascii="方正黑体_GBK" w:hAnsi="方正黑体_GBK" w:eastAsia="方正黑体_GBK" w:cs="方正黑体_GBK"/>
          <w:color w:val="auto"/>
          <w:sz w:val="32"/>
          <w:szCs w:val="32"/>
          <w:highlight w:val="none"/>
          <w:lang w:val="zh-CN"/>
        </w:rPr>
        <w:t>验收</w:t>
      </w:r>
    </w:p>
    <w:p>
      <w:pPr>
        <w:spacing w:line="560" w:lineRule="exact"/>
        <w:ind w:firstLine="640"/>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供应商</w:t>
      </w:r>
      <w:r>
        <w:rPr>
          <w:rFonts w:hint="eastAsia" w:ascii="方正仿宋_GBK" w:hAnsi="方正仿宋_GBK" w:eastAsia="方正仿宋_GBK" w:cs="方正仿宋_GBK"/>
          <w:color w:val="auto"/>
          <w:sz w:val="32"/>
          <w:szCs w:val="32"/>
          <w:highlight w:val="none"/>
          <w:lang w:val="zh-CN"/>
        </w:rPr>
        <w:t>对当年提供的法律顾问服务事项进行汇总，并向采购人提交年度工作报告，采购人</w:t>
      </w:r>
      <w:r>
        <w:rPr>
          <w:rFonts w:hint="eastAsia" w:ascii="方正仿宋_GBK" w:hAnsi="方正仿宋_GBK" w:eastAsia="方正仿宋_GBK" w:cs="方正仿宋_GBK"/>
          <w:color w:val="auto"/>
          <w:kern w:val="2"/>
          <w:sz w:val="32"/>
          <w:szCs w:val="32"/>
          <w:highlight w:val="none"/>
          <w:lang w:val="zh-CN"/>
        </w:rPr>
        <w:t>根据外聘法律顾问日常工作结果综合评定考核</w:t>
      </w:r>
      <w:r>
        <w:rPr>
          <w:rFonts w:hint="eastAsia" w:ascii="仿宋_GB2312" w:eastAsia="仿宋_GB2312"/>
          <w:color w:val="auto"/>
          <w:sz w:val="32"/>
          <w:szCs w:val="32"/>
          <w:highlight w:val="none"/>
          <w:lang w:val="zh-CN"/>
        </w:rPr>
        <w:t>。</w:t>
      </w:r>
    </w:p>
    <w:p>
      <w:pPr>
        <w:numPr>
          <w:ilvl w:val="0"/>
          <w:numId w:val="3"/>
        </w:numPr>
        <w:spacing w:line="560" w:lineRule="exact"/>
        <w:ind w:firstLine="640" w:firstLineChars="200"/>
        <w:rPr>
          <w:rFonts w:hint="eastAsia" w:ascii="方正黑体_GBK" w:hAnsi="方正黑体_GBK" w:eastAsia="方正黑体_GBK" w:cs="方正黑体_GBK"/>
          <w:color w:val="auto"/>
          <w:sz w:val="32"/>
          <w:szCs w:val="32"/>
          <w:highlight w:val="none"/>
          <w:lang w:val="zh-CN" w:eastAsia="zh-CN"/>
        </w:rPr>
      </w:pPr>
      <w:r>
        <w:rPr>
          <w:rFonts w:hint="eastAsia" w:ascii="方正黑体_GBK" w:hAnsi="方正黑体_GBK" w:eastAsia="方正黑体_GBK" w:cs="方正黑体_GBK"/>
          <w:color w:val="auto"/>
          <w:sz w:val="32"/>
          <w:szCs w:val="32"/>
          <w:highlight w:val="none"/>
          <w:lang w:val="zh-CN" w:eastAsia="zh-CN"/>
        </w:rPr>
        <w:t>投标文件提交时间</w:t>
      </w:r>
    </w:p>
    <w:p>
      <w:pPr>
        <w:spacing w:line="560" w:lineRule="exact"/>
        <w:ind w:firstLine="640"/>
        <w:rPr>
          <w:rFonts w:hint="eastAsia" w:ascii="仿宋_GB2312" w:eastAsia="仿宋_GB2312"/>
          <w:color w:val="auto"/>
          <w:sz w:val="32"/>
          <w:szCs w:val="32"/>
          <w:highlight w:val="none"/>
          <w:lang w:val="zh-CN"/>
        </w:rPr>
      </w:pPr>
      <w:r>
        <w:rPr>
          <w:rFonts w:hint="eastAsia" w:ascii="仿宋_GB2312" w:hAnsi="Calibri" w:eastAsia="仿宋_GB2312" w:cs="Times New Roman"/>
          <w:color w:val="auto"/>
          <w:sz w:val="32"/>
          <w:szCs w:val="32"/>
          <w:highlight w:val="none"/>
          <w:lang w:eastAsia="zh-CN"/>
        </w:rPr>
        <w:t>202</w:t>
      </w:r>
      <w:r>
        <w:rPr>
          <w:rFonts w:hint="eastAsia" w:ascii="仿宋_GB2312" w:hAnsi="Calibri" w:eastAsia="仿宋_GB2312" w:cs="Times New Roman"/>
          <w:color w:val="auto"/>
          <w:sz w:val="32"/>
          <w:szCs w:val="32"/>
          <w:highlight w:val="none"/>
          <w:lang w:val="en-US" w:eastAsia="zh-CN"/>
        </w:rPr>
        <w:t>6</w:t>
      </w:r>
      <w:r>
        <w:rPr>
          <w:rFonts w:hint="eastAsia" w:ascii="仿宋_GB2312" w:hAnsi="Calibri" w:eastAsia="仿宋_GB2312" w:cs="Times New Roman"/>
          <w:color w:val="auto"/>
          <w:sz w:val="32"/>
          <w:szCs w:val="32"/>
          <w:highlight w:val="none"/>
          <w:lang w:eastAsia="zh-CN"/>
        </w:rPr>
        <w:t>年3月</w:t>
      </w:r>
      <w:r>
        <w:rPr>
          <w:rFonts w:hint="eastAsia" w:ascii="仿宋_GB2312" w:hAnsi="Calibri" w:eastAsia="仿宋_GB2312" w:cs="Times New Roman"/>
          <w:color w:val="auto"/>
          <w:sz w:val="32"/>
          <w:szCs w:val="32"/>
          <w:highlight w:val="none"/>
          <w:lang w:val="en-US" w:eastAsia="zh-CN"/>
        </w:rPr>
        <w:t>12</w:t>
      </w:r>
      <w:r>
        <w:rPr>
          <w:rFonts w:hint="eastAsia" w:ascii="仿宋_GB2312" w:hAnsi="Calibri" w:eastAsia="仿宋_GB2312" w:cs="Times New Roman"/>
          <w:color w:val="auto"/>
          <w:sz w:val="32"/>
          <w:szCs w:val="32"/>
          <w:highlight w:val="none"/>
          <w:lang w:eastAsia="zh-CN"/>
        </w:rPr>
        <w:t>日-3月1</w:t>
      </w:r>
      <w:r>
        <w:rPr>
          <w:rFonts w:hint="eastAsia" w:ascii="仿宋_GB2312" w:hAnsi="Calibri" w:eastAsia="仿宋_GB2312" w:cs="Times New Roman"/>
          <w:color w:val="auto"/>
          <w:sz w:val="32"/>
          <w:szCs w:val="32"/>
          <w:highlight w:val="none"/>
          <w:lang w:val="en-US" w:eastAsia="zh-CN"/>
        </w:rPr>
        <w:t>8</w:t>
      </w:r>
      <w:r>
        <w:rPr>
          <w:rFonts w:hint="eastAsia" w:ascii="仿宋_GB2312" w:hAnsi="Calibri" w:eastAsia="仿宋_GB2312" w:cs="Times New Roman"/>
          <w:color w:val="auto"/>
          <w:sz w:val="32"/>
          <w:szCs w:val="32"/>
          <w:highlight w:val="none"/>
          <w:lang w:eastAsia="zh-CN"/>
        </w:rPr>
        <w:t>日。投标文件（一份正本，两份副本）需采用封套单独密封，并加盖公章。</w:t>
      </w:r>
    </w:p>
    <w:p>
      <w:pPr>
        <w:spacing w:line="560" w:lineRule="exact"/>
        <w:ind w:firstLine="640"/>
        <w:rPr>
          <w:rFonts w:hint="eastAsia" w:ascii="仿宋_GB2312" w:eastAsia="仿宋_GB2312"/>
          <w:color w:val="auto"/>
          <w:sz w:val="32"/>
          <w:szCs w:val="32"/>
          <w:highlight w:val="none"/>
          <w:lang w:val="zh-CN"/>
        </w:rPr>
      </w:pPr>
    </w:p>
    <w:p>
      <w:pPr>
        <w:spacing w:line="560" w:lineRule="exact"/>
        <w:ind w:firstLine="640"/>
        <w:rPr>
          <w:rFonts w:hint="eastAsia" w:ascii="仿宋_GB2312" w:eastAsia="仿宋_GB2312"/>
          <w:color w:val="auto"/>
          <w:sz w:val="32"/>
          <w:szCs w:val="32"/>
          <w:highlight w:val="none"/>
          <w:lang w:val="zh-CN"/>
        </w:rPr>
      </w:pPr>
    </w:p>
    <w:p>
      <w:pPr>
        <w:spacing w:line="560" w:lineRule="exact"/>
        <w:ind w:firstLine="640"/>
        <w:jc w:val="left"/>
        <w:rPr>
          <w:rFonts w:ascii="仿宋_GB2312" w:eastAsia="仿宋_GB2312"/>
          <w:color w:val="auto"/>
          <w:sz w:val="32"/>
          <w:szCs w:val="32"/>
          <w:highlight w:val="none"/>
        </w:rPr>
      </w:pPr>
      <w:r>
        <w:rPr>
          <w:rFonts w:hint="eastAsia" w:ascii="仿宋_GB2312" w:eastAsia="仿宋_GB2312"/>
          <w:color w:val="auto"/>
          <w:sz w:val="32"/>
          <w:szCs w:val="32"/>
          <w:highlight w:val="none"/>
          <w:lang w:val="zh-CN"/>
        </w:rPr>
        <w:t>附件：</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年法律顾问服务项目采购综合评审表</w:t>
      </w:r>
    </w:p>
    <w:tbl>
      <w:tblPr>
        <w:tblStyle w:val="5"/>
        <w:tblW w:w="8843" w:type="dxa"/>
        <w:tblInd w:w="93" w:type="dxa"/>
        <w:tblLayout w:type="fixed"/>
        <w:tblCellMar>
          <w:top w:w="0" w:type="dxa"/>
          <w:left w:w="108" w:type="dxa"/>
          <w:bottom w:w="0" w:type="dxa"/>
          <w:right w:w="108" w:type="dxa"/>
        </w:tblCellMar>
      </w:tblPr>
      <w:tblGrid>
        <w:gridCol w:w="690"/>
        <w:gridCol w:w="1080"/>
        <w:gridCol w:w="1080"/>
        <w:gridCol w:w="5993"/>
      </w:tblGrid>
      <w:tr>
        <w:tblPrEx>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评审项目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分配分值</w:t>
            </w:r>
          </w:p>
        </w:tc>
        <w:tc>
          <w:tcPr>
            <w:tcW w:w="5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评审内容及分值范围</w:t>
            </w:r>
          </w:p>
        </w:tc>
      </w:tr>
      <w:tr>
        <w:tblPrEx>
          <w:tblCellMar>
            <w:top w:w="0" w:type="dxa"/>
            <w:left w:w="108" w:type="dxa"/>
            <w:bottom w:w="0" w:type="dxa"/>
            <w:right w:w="108" w:type="dxa"/>
          </w:tblCellMar>
        </w:tblPrEx>
        <w:trPr>
          <w:trHeight w:val="1243" w:hRule="atLeast"/>
        </w:trPr>
        <w:tc>
          <w:tcPr>
            <w:tcW w:w="69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highlight w:val="none"/>
              </w:rPr>
            </w:pPr>
            <w:r>
              <w:rPr>
                <w:rFonts w:ascii="仿宋_GB2312" w:hAnsi="仿宋_GB2312" w:eastAsia="仿宋_GB2312" w:cs="仿宋_GB2312"/>
                <w:color w:val="auto"/>
                <w:kern w:val="0"/>
                <w:sz w:val="24"/>
                <w:szCs w:val="24"/>
                <w:highlight w:val="none"/>
                <w:lang w:bidi="ar"/>
              </w:rPr>
              <w:t>1</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律师事务所资质</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1</w:t>
            </w:r>
            <w:r>
              <w:rPr>
                <w:rFonts w:ascii="仿宋_GB2312" w:hAnsi="仿宋_GB2312" w:eastAsia="仿宋_GB2312" w:cs="仿宋_GB2312"/>
                <w:color w:val="auto"/>
                <w:kern w:val="0"/>
                <w:sz w:val="24"/>
                <w:szCs w:val="24"/>
                <w:highlight w:val="none"/>
                <w:lang w:bidi="ar"/>
              </w:rPr>
              <w:t>0</w:t>
            </w:r>
          </w:p>
        </w:tc>
        <w:tc>
          <w:tcPr>
            <w:tcW w:w="599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律师事务所执业律师人员配备充足。按律师事务所</w:t>
            </w:r>
            <w:r>
              <w:rPr>
                <w:rFonts w:hint="eastAsia" w:ascii="仿宋_GB2312" w:hAnsi="仿宋_GB2312" w:eastAsia="仿宋_GB2312" w:cs="仿宋_GB2312"/>
                <w:color w:val="auto"/>
                <w:kern w:val="0"/>
                <w:sz w:val="24"/>
                <w:szCs w:val="24"/>
                <w:highlight w:val="none"/>
                <w:lang w:eastAsia="zh-CN" w:bidi="ar"/>
              </w:rPr>
              <w:t>执业律师的</w:t>
            </w:r>
            <w:r>
              <w:rPr>
                <w:rFonts w:hint="eastAsia" w:ascii="仿宋_GB2312" w:hAnsi="仿宋_GB2312" w:eastAsia="仿宋_GB2312" w:cs="仿宋_GB2312"/>
                <w:color w:val="auto"/>
                <w:kern w:val="0"/>
                <w:sz w:val="24"/>
                <w:szCs w:val="24"/>
                <w:highlight w:val="none"/>
                <w:lang w:bidi="ar"/>
              </w:rPr>
              <w:t>人员数量由多至少排名，</w:t>
            </w:r>
            <w:r>
              <w:rPr>
                <w:rFonts w:hint="eastAsia" w:ascii="仿宋_GB2312" w:hAnsi="仿宋_GB2312" w:eastAsia="仿宋_GB2312" w:cs="仿宋_GB2312"/>
                <w:color w:val="auto"/>
                <w:kern w:val="0"/>
                <w:sz w:val="24"/>
                <w:szCs w:val="24"/>
                <w:highlight w:val="none"/>
                <w:lang w:eastAsia="zh-CN" w:bidi="ar"/>
              </w:rPr>
              <w:t>第一名</w:t>
            </w:r>
            <w:r>
              <w:rPr>
                <w:rFonts w:hint="eastAsia" w:ascii="仿宋_GB2312" w:hAnsi="仿宋_GB2312" w:eastAsia="仿宋_GB2312" w:cs="仿宋_GB2312"/>
                <w:color w:val="auto"/>
                <w:kern w:val="0"/>
                <w:sz w:val="24"/>
                <w:szCs w:val="24"/>
                <w:highlight w:val="none"/>
                <w:lang w:bidi="ar"/>
              </w:rPr>
              <w:t>得</w:t>
            </w:r>
            <w:r>
              <w:rPr>
                <w:rFonts w:hint="eastAsia" w:ascii="仿宋_GB2312" w:hAnsi="仿宋_GB2312" w:eastAsia="仿宋_GB2312" w:cs="仿宋_GB2312"/>
                <w:color w:val="auto"/>
                <w:kern w:val="0"/>
                <w:sz w:val="24"/>
                <w:szCs w:val="24"/>
                <w:highlight w:val="none"/>
                <w:lang w:val="en-US" w:eastAsia="zh-CN" w:bidi="ar"/>
              </w:rPr>
              <w:t>10</w:t>
            </w:r>
            <w:r>
              <w:rPr>
                <w:rFonts w:ascii="仿宋_GB2312" w:hAnsi="仿宋_GB2312" w:eastAsia="仿宋_GB2312" w:cs="仿宋_GB2312"/>
                <w:color w:val="auto"/>
                <w:kern w:val="0"/>
                <w:sz w:val="24"/>
                <w:szCs w:val="24"/>
                <w:highlight w:val="none"/>
                <w:lang w:bidi="ar"/>
              </w:rPr>
              <w:t>分，第二名得</w:t>
            </w:r>
            <w:r>
              <w:rPr>
                <w:rFonts w:hint="eastAsia" w:ascii="仿宋_GB2312" w:hAnsi="仿宋_GB2312" w:eastAsia="仿宋_GB2312" w:cs="仿宋_GB2312"/>
                <w:color w:val="auto"/>
                <w:kern w:val="0"/>
                <w:sz w:val="24"/>
                <w:szCs w:val="24"/>
                <w:highlight w:val="none"/>
                <w:lang w:val="en-US" w:eastAsia="zh-CN" w:bidi="ar"/>
              </w:rPr>
              <w:t>8</w:t>
            </w:r>
            <w:r>
              <w:rPr>
                <w:rFonts w:ascii="仿宋_GB2312" w:hAnsi="仿宋_GB2312" w:eastAsia="仿宋_GB2312" w:cs="仿宋_GB2312"/>
                <w:color w:val="auto"/>
                <w:kern w:val="0"/>
                <w:sz w:val="24"/>
                <w:szCs w:val="24"/>
                <w:highlight w:val="none"/>
                <w:lang w:bidi="ar"/>
              </w:rPr>
              <w:t>分，第三名得</w:t>
            </w:r>
            <w:r>
              <w:rPr>
                <w:rFonts w:hint="eastAsia" w:ascii="仿宋_GB2312" w:hAnsi="仿宋_GB2312" w:eastAsia="仿宋_GB2312" w:cs="仿宋_GB2312"/>
                <w:color w:val="auto"/>
                <w:kern w:val="0"/>
                <w:sz w:val="24"/>
                <w:szCs w:val="24"/>
                <w:highlight w:val="none"/>
                <w:lang w:val="en-US" w:eastAsia="zh-CN" w:bidi="ar"/>
              </w:rPr>
              <w:t>6</w:t>
            </w:r>
            <w:r>
              <w:rPr>
                <w:rFonts w:ascii="仿宋_GB2312" w:hAnsi="仿宋_GB2312" w:eastAsia="仿宋_GB2312" w:cs="仿宋_GB2312"/>
                <w:color w:val="auto"/>
                <w:kern w:val="0"/>
                <w:sz w:val="24"/>
                <w:szCs w:val="24"/>
                <w:highlight w:val="none"/>
                <w:lang w:bidi="ar"/>
              </w:rPr>
              <w:t>分，第四名及其后的供应商不得分（如人数相同的得分相同）</w:t>
            </w:r>
            <w:r>
              <w:rPr>
                <w:rFonts w:hint="eastAsia" w:ascii="仿宋_GB2312" w:hAnsi="仿宋_GB2312" w:eastAsia="仿宋_GB2312" w:cs="仿宋_GB2312"/>
                <w:color w:val="auto"/>
                <w:kern w:val="0"/>
                <w:sz w:val="24"/>
                <w:szCs w:val="24"/>
                <w:highlight w:val="none"/>
                <w:lang w:eastAsia="zh-CN" w:bidi="ar"/>
              </w:rPr>
              <w:t>。</w:t>
            </w:r>
          </w:p>
        </w:tc>
      </w:tr>
      <w:tr>
        <w:tblPrEx>
          <w:tblCellMar>
            <w:top w:w="0" w:type="dxa"/>
            <w:left w:w="108" w:type="dxa"/>
            <w:bottom w:w="0" w:type="dxa"/>
            <w:right w:w="108" w:type="dxa"/>
          </w:tblCellMar>
        </w:tblPrEx>
        <w:trPr>
          <w:trHeight w:val="1243" w:hRule="atLeast"/>
        </w:trPr>
        <w:tc>
          <w:tcPr>
            <w:tcW w:w="690" w:type="dxa"/>
            <w:vMerge w:val="restart"/>
            <w:tcBorders>
              <w:top w:val="single" w:color="auto" w:sz="4" w:space="0"/>
              <w:left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highlight w:val="none"/>
              </w:rPr>
            </w:pPr>
            <w:r>
              <w:rPr>
                <w:rFonts w:ascii="仿宋_GB2312" w:hAnsi="仿宋_GB2312" w:eastAsia="仿宋_GB2312" w:cs="仿宋_GB2312"/>
                <w:color w:val="auto"/>
                <w:kern w:val="0"/>
                <w:sz w:val="24"/>
                <w:szCs w:val="24"/>
                <w:highlight w:val="none"/>
                <w:lang w:bidi="ar"/>
              </w:rPr>
              <w:t>2</w:t>
            </w:r>
          </w:p>
        </w:tc>
        <w:tc>
          <w:tcPr>
            <w:tcW w:w="1080" w:type="dxa"/>
            <w:vMerge w:val="restart"/>
            <w:tcBorders>
              <w:top w:val="single" w:color="auto" w:sz="4" w:space="0"/>
              <w:left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服务本项目律师资质</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Theme="minorEastAsia"/>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
              </w:rPr>
              <w:t>10</w:t>
            </w:r>
          </w:p>
        </w:tc>
        <w:tc>
          <w:tcPr>
            <w:tcW w:w="599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律师事务所</w:t>
            </w:r>
            <w:r>
              <w:rPr>
                <w:rFonts w:hint="eastAsia" w:ascii="仿宋_GB2312" w:hAnsi="仿宋_GB2312" w:eastAsia="仿宋_GB2312" w:cs="仿宋_GB2312"/>
                <w:color w:val="auto"/>
                <w:kern w:val="0"/>
                <w:sz w:val="24"/>
                <w:szCs w:val="24"/>
                <w:highlight w:val="none"/>
                <w:lang w:val="en-US" w:eastAsia="zh-CN" w:bidi="ar"/>
              </w:rPr>
              <w:t>拟指派</w:t>
            </w:r>
            <w:r>
              <w:rPr>
                <w:rFonts w:hint="eastAsia" w:ascii="仿宋_GB2312" w:hAnsi="仿宋_GB2312" w:eastAsia="仿宋_GB2312" w:cs="仿宋_GB2312"/>
                <w:color w:val="auto"/>
                <w:kern w:val="0"/>
                <w:sz w:val="24"/>
                <w:szCs w:val="24"/>
                <w:highlight w:val="none"/>
                <w:lang w:bidi="ar"/>
              </w:rPr>
              <w:t>服务本项目的执业律师</w:t>
            </w:r>
            <w:r>
              <w:rPr>
                <w:rFonts w:hint="eastAsia" w:ascii="仿宋_GB2312" w:hAnsi="仿宋_GB2312" w:eastAsia="仿宋_GB2312" w:cs="仿宋_GB2312"/>
                <w:color w:val="auto"/>
                <w:kern w:val="0"/>
                <w:sz w:val="24"/>
                <w:szCs w:val="24"/>
                <w:highlight w:val="none"/>
                <w:lang w:eastAsia="zh-CN" w:bidi="ar"/>
              </w:rPr>
              <w:t>满足</w:t>
            </w:r>
            <w:r>
              <w:rPr>
                <w:rFonts w:hint="eastAsia" w:ascii="仿宋_GB2312" w:hAnsi="仿宋_GB2312" w:eastAsia="仿宋_GB2312" w:cs="仿宋_GB2312"/>
                <w:color w:val="auto"/>
                <w:kern w:val="0"/>
                <w:sz w:val="24"/>
                <w:szCs w:val="24"/>
                <w:highlight w:val="none"/>
                <w:lang w:bidi="ar"/>
              </w:rPr>
              <w:t>至少执业五年以上，且近三年来没有受到过行业处分的人员数量由多至少排名</w:t>
            </w:r>
            <w:r>
              <w:rPr>
                <w:rFonts w:hint="eastAsia" w:ascii="仿宋_GB2312" w:hAnsi="仿宋_GB2312" w:eastAsia="仿宋_GB2312" w:cs="仿宋_GB2312"/>
                <w:color w:val="auto"/>
                <w:kern w:val="0"/>
                <w:sz w:val="24"/>
                <w:szCs w:val="24"/>
                <w:highlight w:val="none"/>
                <w:lang w:eastAsia="zh-CN" w:bidi="ar"/>
              </w:rPr>
              <w:t>，第一名</w:t>
            </w:r>
            <w:r>
              <w:rPr>
                <w:rFonts w:hint="eastAsia" w:ascii="仿宋_GB2312" w:hAnsi="仿宋_GB2312" w:eastAsia="仿宋_GB2312" w:cs="仿宋_GB2312"/>
                <w:color w:val="auto"/>
                <w:kern w:val="0"/>
                <w:sz w:val="24"/>
                <w:szCs w:val="24"/>
                <w:highlight w:val="none"/>
                <w:lang w:bidi="ar"/>
              </w:rPr>
              <w:t>得10分，第二名得8分，第三名得6分，第四名及其后的供应商不得分（如人数相同的得分相同）。</w:t>
            </w:r>
          </w:p>
        </w:tc>
      </w:tr>
      <w:tr>
        <w:tblPrEx>
          <w:tblCellMar>
            <w:top w:w="0" w:type="dxa"/>
            <w:left w:w="108" w:type="dxa"/>
            <w:bottom w:w="0" w:type="dxa"/>
            <w:right w:w="108" w:type="dxa"/>
          </w:tblCellMar>
        </w:tblPrEx>
        <w:trPr>
          <w:trHeight w:val="810" w:hRule="atLeast"/>
        </w:trPr>
        <w:tc>
          <w:tcPr>
            <w:tcW w:w="69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highlight w:val="none"/>
              </w:rPr>
            </w:pPr>
          </w:p>
        </w:tc>
        <w:tc>
          <w:tcPr>
            <w:tcW w:w="108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highlight w:val="none"/>
              </w:rPr>
            </w:pPr>
            <w:r>
              <w:rPr>
                <w:rFonts w:ascii="仿宋_GB2312" w:hAnsi="仿宋_GB2312" w:eastAsia="仿宋_GB2312" w:cs="仿宋_GB2312"/>
                <w:color w:val="auto"/>
                <w:kern w:val="0"/>
                <w:sz w:val="24"/>
                <w:szCs w:val="24"/>
                <w:highlight w:val="none"/>
                <w:lang w:bidi="ar"/>
              </w:rPr>
              <w:t>30</w:t>
            </w:r>
          </w:p>
        </w:tc>
        <w:tc>
          <w:tcPr>
            <w:tcW w:w="5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根据《关于推行法律顾问制度和公职律师公司律师制度的意见》（中办发</w:t>
            </w:r>
            <w:r>
              <w:rPr>
                <w:rFonts w:ascii="仿宋_GB2312" w:hAnsi="仿宋_GB2312" w:eastAsia="仿宋_GB2312" w:cs="仿宋_GB2312"/>
                <w:color w:val="auto"/>
                <w:kern w:val="0"/>
                <w:sz w:val="24"/>
                <w:szCs w:val="24"/>
                <w:highlight w:val="none"/>
                <w:lang w:bidi="ar"/>
              </w:rPr>
              <w:t>[2016]30号）的要求，</w:t>
            </w:r>
            <w:r>
              <w:rPr>
                <w:rFonts w:hint="eastAsia" w:ascii="仿宋_GB2312" w:hAnsi="仿宋_GB2312" w:eastAsia="仿宋_GB2312" w:cs="仿宋_GB2312"/>
                <w:color w:val="auto"/>
                <w:kern w:val="0"/>
                <w:sz w:val="24"/>
                <w:szCs w:val="24"/>
                <w:highlight w:val="none"/>
                <w:lang w:bidi="ar"/>
              </w:rPr>
              <w:t>律师事务所</w:t>
            </w:r>
            <w:r>
              <w:rPr>
                <w:rFonts w:hint="eastAsia" w:ascii="仿宋_GB2312" w:hAnsi="仿宋_GB2312" w:eastAsia="仿宋_GB2312" w:cs="仿宋_GB2312"/>
                <w:color w:val="auto"/>
                <w:kern w:val="0"/>
                <w:sz w:val="24"/>
                <w:szCs w:val="24"/>
                <w:highlight w:val="none"/>
                <w:lang w:val="en-US" w:eastAsia="zh-CN" w:bidi="ar"/>
              </w:rPr>
              <w:t>拟指派</w:t>
            </w:r>
            <w:r>
              <w:rPr>
                <w:rFonts w:ascii="仿宋_GB2312" w:hAnsi="仿宋_GB2312" w:eastAsia="仿宋_GB2312" w:cs="仿宋_GB2312"/>
                <w:color w:val="auto"/>
                <w:kern w:val="0"/>
                <w:sz w:val="24"/>
                <w:szCs w:val="24"/>
                <w:highlight w:val="none"/>
                <w:lang w:bidi="ar"/>
              </w:rPr>
              <w:t>服务本项目律师是中共党员，每个得10分，最高30分。</w:t>
            </w:r>
          </w:p>
        </w:tc>
      </w:tr>
      <w:tr>
        <w:tblPrEx>
          <w:tblCellMar>
            <w:top w:w="0" w:type="dxa"/>
            <w:left w:w="108" w:type="dxa"/>
            <w:bottom w:w="0" w:type="dxa"/>
            <w:right w:w="108" w:type="dxa"/>
          </w:tblCellMar>
        </w:tblPrEx>
        <w:trPr>
          <w:trHeight w:val="54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highlight w:val="none"/>
              </w:rPr>
            </w:pPr>
            <w:r>
              <w:rPr>
                <w:rFonts w:ascii="仿宋_GB2312" w:hAnsi="仿宋_GB2312" w:eastAsia="仿宋_GB2312" w:cs="仿宋_GB2312"/>
                <w:color w:val="auto"/>
                <w:kern w:val="0"/>
                <w:sz w:val="24"/>
                <w:szCs w:val="24"/>
                <w:highlight w:val="none"/>
                <w:lang w:bidi="ar"/>
              </w:rPr>
              <w:t>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服务业绩</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highlight w:val="none"/>
              </w:rPr>
            </w:pPr>
            <w:r>
              <w:rPr>
                <w:rFonts w:ascii="仿宋_GB2312" w:hAnsi="仿宋_GB2312" w:eastAsia="仿宋_GB2312" w:cs="仿宋_GB2312"/>
                <w:color w:val="auto"/>
                <w:kern w:val="0"/>
                <w:sz w:val="24"/>
                <w:szCs w:val="24"/>
                <w:highlight w:val="none"/>
                <w:lang w:bidi="ar"/>
              </w:rPr>
              <w:t>40</w:t>
            </w:r>
          </w:p>
        </w:tc>
        <w:tc>
          <w:tcPr>
            <w:tcW w:w="5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律师事务所</w:t>
            </w:r>
            <w:r>
              <w:rPr>
                <w:rFonts w:hint="eastAsia" w:ascii="仿宋_GB2312" w:hAnsi="仿宋_GB2312" w:eastAsia="仿宋_GB2312" w:cs="仿宋_GB2312"/>
                <w:color w:val="auto"/>
                <w:kern w:val="0"/>
                <w:sz w:val="24"/>
                <w:szCs w:val="24"/>
                <w:highlight w:val="none"/>
                <w:lang w:val="en-US" w:eastAsia="zh-CN" w:bidi="ar"/>
              </w:rPr>
              <w:t>近三年</w:t>
            </w:r>
            <w:r>
              <w:rPr>
                <w:rFonts w:hint="eastAsia" w:ascii="仿宋_GB2312" w:hAnsi="仿宋_GB2312" w:eastAsia="仿宋_GB2312" w:cs="仿宋_GB2312"/>
                <w:color w:val="auto"/>
                <w:kern w:val="0"/>
                <w:sz w:val="24"/>
                <w:szCs w:val="24"/>
                <w:highlight w:val="none"/>
                <w:lang w:bidi="ar"/>
              </w:rPr>
              <w:t>有担任机关单位常年法律顾问项目业绩，每</w:t>
            </w:r>
            <w:r>
              <w:rPr>
                <w:rFonts w:hint="default" w:ascii="仿宋_GB2312" w:hAnsi="仿宋_GB2312" w:eastAsia="仿宋_GB2312" w:cs="仿宋_GB2312"/>
                <w:color w:val="auto"/>
                <w:kern w:val="0"/>
                <w:sz w:val="24"/>
                <w:szCs w:val="24"/>
                <w:highlight w:val="none"/>
                <w:lang w:bidi="ar"/>
              </w:rPr>
              <w:t>个单位得</w:t>
            </w:r>
            <w:r>
              <w:rPr>
                <w:rFonts w:ascii="仿宋_GB2312" w:hAnsi="仿宋_GB2312" w:eastAsia="仿宋_GB2312" w:cs="仿宋_GB2312"/>
                <w:color w:val="auto"/>
                <w:kern w:val="0"/>
                <w:sz w:val="24"/>
                <w:szCs w:val="24"/>
                <w:highlight w:val="none"/>
                <w:lang w:bidi="ar"/>
              </w:rPr>
              <w:t>10分，最高20分。</w:t>
            </w:r>
          </w:p>
        </w:tc>
      </w:tr>
      <w:tr>
        <w:tblPrEx>
          <w:tblCellMar>
            <w:top w:w="0" w:type="dxa"/>
            <w:left w:w="108" w:type="dxa"/>
            <w:bottom w:w="0" w:type="dxa"/>
            <w:right w:w="108" w:type="dxa"/>
          </w:tblCellMar>
        </w:tblPrEx>
        <w:trPr>
          <w:trHeight w:val="81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4"/>
                <w:szCs w:val="24"/>
                <w:highlight w:val="none"/>
              </w:rPr>
            </w:pPr>
          </w:p>
        </w:tc>
        <w:tc>
          <w:tcPr>
            <w:tcW w:w="5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律师事务所近三年有处理机关单位相关法律业务经验，包括但不限于提供行政立法合法性审查、</w:t>
            </w:r>
            <w:r>
              <w:rPr>
                <w:rFonts w:hint="eastAsia" w:ascii="仿宋_GB2312" w:hAnsi="仿宋_GB2312" w:eastAsia="仿宋_GB2312" w:cs="仿宋_GB2312"/>
                <w:color w:val="auto"/>
                <w:kern w:val="0"/>
                <w:sz w:val="24"/>
                <w:szCs w:val="24"/>
                <w:highlight w:val="none"/>
                <w:lang w:val="en-US" w:eastAsia="zh-CN" w:bidi="ar"/>
              </w:rPr>
              <w:t>参与</w:t>
            </w:r>
            <w:r>
              <w:rPr>
                <w:rFonts w:hint="eastAsia" w:ascii="仿宋_GB2312" w:hAnsi="仿宋_GB2312" w:eastAsia="仿宋_GB2312" w:cs="仿宋_GB2312"/>
                <w:color w:val="auto"/>
                <w:kern w:val="0"/>
                <w:sz w:val="24"/>
                <w:szCs w:val="24"/>
                <w:highlight w:val="none"/>
                <w:lang w:bidi="ar"/>
              </w:rPr>
              <w:t>行政复议案件、行政诉讼案件、执法案件法律论证，每</w:t>
            </w:r>
            <w:r>
              <w:rPr>
                <w:rFonts w:hint="eastAsia" w:ascii="仿宋_GB2312" w:hAnsi="仿宋_GB2312" w:eastAsia="仿宋_GB2312" w:cs="仿宋_GB2312"/>
                <w:color w:val="auto"/>
                <w:kern w:val="0"/>
                <w:sz w:val="24"/>
                <w:szCs w:val="24"/>
                <w:highlight w:val="none"/>
                <w:lang w:val="en-US" w:eastAsia="zh-CN" w:bidi="ar"/>
              </w:rPr>
              <w:t>类</w:t>
            </w:r>
            <w:r>
              <w:rPr>
                <w:rFonts w:hint="eastAsia" w:ascii="仿宋_GB2312" w:hAnsi="仿宋_GB2312" w:eastAsia="仿宋_GB2312" w:cs="仿宋_GB2312"/>
                <w:color w:val="auto"/>
                <w:kern w:val="0"/>
                <w:sz w:val="24"/>
                <w:szCs w:val="24"/>
                <w:highlight w:val="none"/>
                <w:lang w:bidi="ar"/>
              </w:rPr>
              <w:t>案件得5分，最高20 分。</w:t>
            </w:r>
          </w:p>
        </w:tc>
      </w:tr>
      <w:tr>
        <w:tblPrEx>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highlight w:val="none"/>
              </w:rPr>
            </w:pPr>
            <w:r>
              <w:rPr>
                <w:rFonts w:ascii="仿宋_GB2312" w:hAnsi="仿宋_GB2312" w:eastAsia="仿宋_GB2312" w:cs="仿宋_GB2312"/>
                <w:color w:val="auto"/>
                <w:kern w:val="0"/>
                <w:sz w:val="24"/>
                <w:szCs w:val="24"/>
                <w:highlight w:val="none"/>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价格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highlight w:val="none"/>
              </w:rPr>
            </w:pPr>
            <w:r>
              <w:rPr>
                <w:rFonts w:ascii="仿宋_GB2312" w:hAnsi="仿宋_GB2312" w:eastAsia="仿宋_GB2312" w:cs="仿宋_GB2312"/>
                <w:color w:val="auto"/>
                <w:kern w:val="0"/>
                <w:sz w:val="24"/>
                <w:szCs w:val="24"/>
                <w:highlight w:val="none"/>
                <w:lang w:bidi="ar"/>
              </w:rPr>
              <w:t>10</w:t>
            </w:r>
          </w:p>
        </w:tc>
        <w:tc>
          <w:tcPr>
            <w:tcW w:w="5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超出预算资金报价</w:t>
            </w:r>
            <w:r>
              <w:rPr>
                <w:rFonts w:hint="eastAsia" w:ascii="仿宋_GB2312" w:hAnsi="仿宋_GB2312" w:eastAsia="仿宋_GB2312" w:cs="仿宋_GB2312"/>
                <w:color w:val="auto"/>
                <w:kern w:val="0"/>
                <w:sz w:val="24"/>
                <w:szCs w:val="24"/>
                <w:highlight w:val="none"/>
                <w:lang w:eastAsia="zh-CN" w:bidi="ar"/>
              </w:rPr>
              <w:t>或不</w:t>
            </w:r>
            <w:r>
              <w:rPr>
                <w:rFonts w:ascii="仿宋_GB2312" w:hAnsi="仿宋_GB2312" w:eastAsia="仿宋_GB2312" w:cs="仿宋_GB2312"/>
                <w:color w:val="auto"/>
                <w:kern w:val="0"/>
                <w:sz w:val="24"/>
                <w:szCs w:val="24"/>
                <w:highlight w:val="none"/>
                <w:lang w:bidi="ar"/>
              </w:rPr>
              <w:t>按照项目服务内容列明报价</w:t>
            </w:r>
            <w:r>
              <w:rPr>
                <w:rFonts w:hint="eastAsia" w:ascii="仿宋_GB2312" w:hAnsi="仿宋_GB2312" w:eastAsia="仿宋_GB2312" w:cs="仿宋_GB2312"/>
                <w:color w:val="auto"/>
                <w:kern w:val="0"/>
                <w:sz w:val="24"/>
                <w:szCs w:val="24"/>
                <w:highlight w:val="none"/>
                <w:lang w:bidi="ar"/>
              </w:rPr>
              <w:t>的得</w:t>
            </w:r>
            <w:r>
              <w:rPr>
                <w:rFonts w:ascii="仿宋_GB2312" w:hAnsi="仿宋_GB2312" w:eastAsia="仿宋_GB2312" w:cs="仿宋_GB2312"/>
                <w:color w:val="auto"/>
                <w:kern w:val="0"/>
                <w:sz w:val="24"/>
                <w:szCs w:val="24"/>
                <w:highlight w:val="none"/>
                <w:lang w:bidi="ar"/>
              </w:rPr>
              <w:t>0分，</w:t>
            </w:r>
            <w:r>
              <w:rPr>
                <w:rFonts w:hint="eastAsia" w:ascii="仿宋_GB2312" w:hAnsi="仿宋_GB2312" w:eastAsia="仿宋_GB2312" w:cs="仿宋_GB2312"/>
                <w:color w:val="auto"/>
                <w:kern w:val="0"/>
                <w:sz w:val="24"/>
                <w:szCs w:val="24"/>
                <w:highlight w:val="none"/>
                <w:lang w:eastAsia="zh-CN" w:bidi="ar"/>
              </w:rPr>
              <w:t>完全</w:t>
            </w:r>
            <w:r>
              <w:rPr>
                <w:rFonts w:ascii="仿宋_GB2312" w:hAnsi="仿宋_GB2312" w:eastAsia="仿宋_GB2312" w:cs="仿宋_GB2312"/>
                <w:color w:val="auto"/>
                <w:kern w:val="0"/>
                <w:sz w:val="24"/>
                <w:szCs w:val="24"/>
                <w:highlight w:val="none"/>
                <w:lang w:bidi="ar"/>
              </w:rPr>
              <w:t>按照项目服务内容列明报价的得10分</w:t>
            </w:r>
            <w:r>
              <w:rPr>
                <w:rFonts w:hint="eastAsia" w:ascii="仿宋_GB2312" w:hAnsi="仿宋_GB2312" w:eastAsia="仿宋_GB2312" w:cs="仿宋_GB2312"/>
                <w:color w:val="auto"/>
                <w:kern w:val="0"/>
                <w:sz w:val="24"/>
                <w:szCs w:val="24"/>
                <w:highlight w:val="none"/>
                <w:lang w:eastAsia="zh-CN" w:bidi="ar"/>
              </w:rPr>
              <w:t>，部分</w:t>
            </w:r>
            <w:r>
              <w:rPr>
                <w:rFonts w:ascii="仿宋_GB2312" w:hAnsi="仿宋_GB2312" w:eastAsia="仿宋_GB2312" w:cs="仿宋_GB2312"/>
                <w:color w:val="auto"/>
                <w:kern w:val="0"/>
                <w:sz w:val="24"/>
                <w:szCs w:val="24"/>
                <w:highlight w:val="none"/>
                <w:lang w:bidi="ar"/>
              </w:rPr>
              <w:t>按照项目服务内容列明报价的得</w:t>
            </w:r>
            <w:r>
              <w:rPr>
                <w:rFonts w:hint="eastAsia" w:ascii="仿宋_GB2312" w:hAnsi="仿宋_GB2312" w:eastAsia="仿宋_GB2312" w:cs="仿宋_GB2312"/>
                <w:color w:val="auto"/>
                <w:kern w:val="0"/>
                <w:sz w:val="24"/>
                <w:szCs w:val="24"/>
                <w:highlight w:val="none"/>
                <w:lang w:val="en-US" w:eastAsia="zh-CN" w:bidi="ar"/>
              </w:rPr>
              <w:t>8</w:t>
            </w:r>
            <w:r>
              <w:rPr>
                <w:rFonts w:ascii="仿宋_GB2312" w:hAnsi="仿宋_GB2312" w:eastAsia="仿宋_GB2312" w:cs="仿宋_GB2312"/>
                <w:color w:val="auto"/>
                <w:kern w:val="0"/>
                <w:sz w:val="24"/>
                <w:szCs w:val="24"/>
                <w:highlight w:val="none"/>
                <w:lang w:bidi="ar"/>
              </w:rPr>
              <w:t>分</w:t>
            </w:r>
            <w:r>
              <w:rPr>
                <w:rFonts w:hint="eastAsia" w:ascii="仿宋_GB2312" w:hAnsi="仿宋_GB2312" w:eastAsia="仿宋_GB2312" w:cs="仿宋_GB2312"/>
                <w:color w:val="auto"/>
                <w:kern w:val="0"/>
                <w:sz w:val="24"/>
                <w:szCs w:val="24"/>
                <w:highlight w:val="none"/>
                <w:lang w:eastAsia="zh-CN" w:bidi="ar"/>
              </w:rPr>
              <w:t>。</w:t>
            </w:r>
          </w:p>
        </w:tc>
      </w:tr>
      <w:tr>
        <w:tblPrEx>
          <w:tblCellMar>
            <w:top w:w="0" w:type="dxa"/>
            <w:left w:w="108" w:type="dxa"/>
            <w:bottom w:w="0" w:type="dxa"/>
            <w:right w:w="108" w:type="dxa"/>
          </w:tblCellMar>
        </w:tblPrEx>
        <w:trPr>
          <w:trHeight w:val="285" w:hRule="atLeast"/>
        </w:trPr>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合计</w:t>
            </w:r>
          </w:p>
        </w:tc>
        <w:tc>
          <w:tcPr>
            <w:tcW w:w="7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sz w:val="24"/>
                <w:szCs w:val="24"/>
                <w:highlight w:val="none"/>
              </w:rPr>
            </w:pPr>
            <w:r>
              <w:rPr>
                <w:rFonts w:ascii="仿宋_GB2312" w:hAnsi="仿宋_GB2312" w:eastAsia="仿宋_GB2312" w:cs="仿宋_GB2312"/>
                <w:color w:val="auto"/>
                <w:kern w:val="0"/>
                <w:sz w:val="24"/>
                <w:szCs w:val="24"/>
                <w:highlight w:val="none"/>
                <w:lang w:bidi="ar"/>
              </w:rPr>
              <w:t>100</w:t>
            </w:r>
          </w:p>
        </w:tc>
      </w:tr>
    </w:tbl>
    <w:p>
      <w:pPr>
        <w:spacing w:line="560" w:lineRule="exact"/>
        <w:ind w:firstLine="640"/>
        <w:jc w:val="center"/>
        <w:rPr>
          <w:rFonts w:ascii="仿宋_GB2312" w:eastAsia="仿宋_GB2312"/>
          <w:color w:val="auto"/>
          <w:sz w:val="32"/>
          <w:szCs w:val="32"/>
          <w:highlight w:val="none"/>
          <w:lang w:val="zh-CN"/>
        </w:rPr>
      </w:pPr>
    </w:p>
    <w:p>
      <w:pPr>
        <w:spacing w:line="560" w:lineRule="exact"/>
        <w:rPr>
          <w:rFonts w:ascii="仿宋_GB2312" w:eastAsia="仿宋_GB2312"/>
          <w:color w:val="auto"/>
          <w:sz w:val="32"/>
          <w:szCs w:val="32"/>
          <w:highlight w:val="none"/>
        </w:rPr>
      </w:pP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95FE85"/>
    <w:multiLevelType w:val="singleLevel"/>
    <w:tmpl w:val="B695FE85"/>
    <w:lvl w:ilvl="0" w:tentative="0">
      <w:start w:val="6"/>
      <w:numFmt w:val="chineseCounting"/>
      <w:suff w:val="nothing"/>
      <w:lvlText w:val="%1、"/>
      <w:lvlJc w:val="left"/>
      <w:rPr>
        <w:rFonts w:hint="eastAsia"/>
      </w:rPr>
    </w:lvl>
  </w:abstractNum>
  <w:abstractNum w:abstractNumId="1">
    <w:nsid w:val="23A3F301"/>
    <w:multiLevelType w:val="singleLevel"/>
    <w:tmpl w:val="23A3F301"/>
    <w:lvl w:ilvl="0" w:tentative="0">
      <w:start w:val="1"/>
      <w:numFmt w:val="chineseCounting"/>
      <w:suff w:val="nothing"/>
      <w:lvlText w:val="%1、"/>
      <w:lvlJc w:val="left"/>
      <w:rPr>
        <w:rFonts w:hint="eastAsia"/>
      </w:rPr>
    </w:lvl>
  </w:abstractNum>
  <w:abstractNum w:abstractNumId="2">
    <w:nsid w:val="672EA0CA"/>
    <w:multiLevelType w:val="singleLevel"/>
    <w:tmpl w:val="672EA0CA"/>
    <w:lvl w:ilvl="0" w:tentative="0">
      <w:start w:val="1"/>
      <w:numFmt w:val="chineseCounting"/>
      <w:suff w:val="nothing"/>
      <w:lvlText w:val="（%1）"/>
      <w:lvlJc w:val="left"/>
      <w:pPr>
        <w:ind w:left="-1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B00"/>
    <w:rsid w:val="00017DD1"/>
    <w:rsid w:val="000416D8"/>
    <w:rsid w:val="00056B38"/>
    <w:rsid w:val="00064408"/>
    <w:rsid w:val="000B6C2B"/>
    <w:rsid w:val="00107B06"/>
    <w:rsid w:val="00134B50"/>
    <w:rsid w:val="00144783"/>
    <w:rsid w:val="00146B3F"/>
    <w:rsid w:val="0015156B"/>
    <w:rsid w:val="00191269"/>
    <w:rsid w:val="001C203B"/>
    <w:rsid w:val="001F72BD"/>
    <w:rsid w:val="001F74CA"/>
    <w:rsid w:val="00200B00"/>
    <w:rsid w:val="00270025"/>
    <w:rsid w:val="00273D1C"/>
    <w:rsid w:val="002A1AA7"/>
    <w:rsid w:val="002D38F9"/>
    <w:rsid w:val="00326EDE"/>
    <w:rsid w:val="0034010C"/>
    <w:rsid w:val="00355ACA"/>
    <w:rsid w:val="00384306"/>
    <w:rsid w:val="004209AE"/>
    <w:rsid w:val="00444A58"/>
    <w:rsid w:val="004514EC"/>
    <w:rsid w:val="004678DD"/>
    <w:rsid w:val="004B2939"/>
    <w:rsid w:val="00505847"/>
    <w:rsid w:val="0054202B"/>
    <w:rsid w:val="00610A6E"/>
    <w:rsid w:val="0068437A"/>
    <w:rsid w:val="0069402B"/>
    <w:rsid w:val="006B1789"/>
    <w:rsid w:val="006B47AE"/>
    <w:rsid w:val="006B5890"/>
    <w:rsid w:val="006F449B"/>
    <w:rsid w:val="006F6F51"/>
    <w:rsid w:val="00710561"/>
    <w:rsid w:val="007304D3"/>
    <w:rsid w:val="007A3ED0"/>
    <w:rsid w:val="007C5349"/>
    <w:rsid w:val="00813773"/>
    <w:rsid w:val="00857201"/>
    <w:rsid w:val="008D3115"/>
    <w:rsid w:val="008D6E76"/>
    <w:rsid w:val="008E1A11"/>
    <w:rsid w:val="008E75C3"/>
    <w:rsid w:val="00911E69"/>
    <w:rsid w:val="00913E4F"/>
    <w:rsid w:val="00984869"/>
    <w:rsid w:val="009B0986"/>
    <w:rsid w:val="009B5AAE"/>
    <w:rsid w:val="009C32FC"/>
    <w:rsid w:val="009E35DA"/>
    <w:rsid w:val="00A05B31"/>
    <w:rsid w:val="00A30460"/>
    <w:rsid w:val="00A47059"/>
    <w:rsid w:val="00B13F1B"/>
    <w:rsid w:val="00BA4FE6"/>
    <w:rsid w:val="00C10702"/>
    <w:rsid w:val="00C746DD"/>
    <w:rsid w:val="00C80307"/>
    <w:rsid w:val="00CA0E9C"/>
    <w:rsid w:val="00D07A5B"/>
    <w:rsid w:val="00D32F5A"/>
    <w:rsid w:val="00D439AC"/>
    <w:rsid w:val="00D63F9F"/>
    <w:rsid w:val="00DD5452"/>
    <w:rsid w:val="00E06D1A"/>
    <w:rsid w:val="00E076CE"/>
    <w:rsid w:val="00E11256"/>
    <w:rsid w:val="00E91922"/>
    <w:rsid w:val="00EB1377"/>
    <w:rsid w:val="00F1438D"/>
    <w:rsid w:val="00F20A28"/>
    <w:rsid w:val="00F41641"/>
    <w:rsid w:val="00F66033"/>
    <w:rsid w:val="00F67B15"/>
    <w:rsid w:val="00FA5EF2"/>
    <w:rsid w:val="00FF3894"/>
    <w:rsid w:val="01404A90"/>
    <w:rsid w:val="046E67C2"/>
    <w:rsid w:val="07CC5B3A"/>
    <w:rsid w:val="09842EFE"/>
    <w:rsid w:val="0B827911"/>
    <w:rsid w:val="0BBF6B66"/>
    <w:rsid w:val="0CA2590E"/>
    <w:rsid w:val="0D444466"/>
    <w:rsid w:val="0DE9202B"/>
    <w:rsid w:val="0E8B70A9"/>
    <w:rsid w:val="0F980A17"/>
    <w:rsid w:val="10E55A46"/>
    <w:rsid w:val="11C0509B"/>
    <w:rsid w:val="12AB64E3"/>
    <w:rsid w:val="13A8170C"/>
    <w:rsid w:val="146F494C"/>
    <w:rsid w:val="16F5296A"/>
    <w:rsid w:val="18381643"/>
    <w:rsid w:val="197314A3"/>
    <w:rsid w:val="19D3479D"/>
    <w:rsid w:val="1A1C655E"/>
    <w:rsid w:val="1A255383"/>
    <w:rsid w:val="1C6E574E"/>
    <w:rsid w:val="1D3304D5"/>
    <w:rsid w:val="1DEE2E4B"/>
    <w:rsid w:val="1ECA0621"/>
    <w:rsid w:val="1F07373C"/>
    <w:rsid w:val="1FC0F66B"/>
    <w:rsid w:val="219C73BA"/>
    <w:rsid w:val="238C0355"/>
    <w:rsid w:val="2966298B"/>
    <w:rsid w:val="29CF5887"/>
    <w:rsid w:val="29F70B24"/>
    <w:rsid w:val="2A982F1B"/>
    <w:rsid w:val="2B4976AE"/>
    <w:rsid w:val="2B575BDE"/>
    <w:rsid w:val="2C862A00"/>
    <w:rsid w:val="2CFFBA20"/>
    <w:rsid w:val="2D587C7B"/>
    <w:rsid w:val="2E6F5474"/>
    <w:rsid w:val="30004B2D"/>
    <w:rsid w:val="30271BE7"/>
    <w:rsid w:val="31080929"/>
    <w:rsid w:val="32C3EE9E"/>
    <w:rsid w:val="32FB5559"/>
    <w:rsid w:val="33D16F20"/>
    <w:rsid w:val="34AB22AC"/>
    <w:rsid w:val="35AFC21B"/>
    <w:rsid w:val="36E44937"/>
    <w:rsid w:val="36EBBEC1"/>
    <w:rsid w:val="3706771C"/>
    <w:rsid w:val="372F514F"/>
    <w:rsid w:val="378F0846"/>
    <w:rsid w:val="38344782"/>
    <w:rsid w:val="38C96FA0"/>
    <w:rsid w:val="3C4019D9"/>
    <w:rsid w:val="3E0A01F7"/>
    <w:rsid w:val="3E576B96"/>
    <w:rsid w:val="3EFA6B40"/>
    <w:rsid w:val="3F105FAA"/>
    <w:rsid w:val="3FB8AB17"/>
    <w:rsid w:val="3FC9BF48"/>
    <w:rsid w:val="3FFDBAF7"/>
    <w:rsid w:val="40967264"/>
    <w:rsid w:val="41A24951"/>
    <w:rsid w:val="43BA49BB"/>
    <w:rsid w:val="443575B0"/>
    <w:rsid w:val="446C5481"/>
    <w:rsid w:val="45171C0D"/>
    <w:rsid w:val="469F3C68"/>
    <w:rsid w:val="479F4B3E"/>
    <w:rsid w:val="48983117"/>
    <w:rsid w:val="49D81F01"/>
    <w:rsid w:val="4C071945"/>
    <w:rsid w:val="4C0A35DF"/>
    <w:rsid w:val="4CA3374A"/>
    <w:rsid w:val="4CB109A1"/>
    <w:rsid w:val="4E01546F"/>
    <w:rsid w:val="4E983CA7"/>
    <w:rsid w:val="4EAD0761"/>
    <w:rsid w:val="4EEBDEA6"/>
    <w:rsid w:val="4F124191"/>
    <w:rsid w:val="4F190529"/>
    <w:rsid w:val="4FA774F1"/>
    <w:rsid w:val="4FFFB5DA"/>
    <w:rsid w:val="505B62C0"/>
    <w:rsid w:val="52BF76BB"/>
    <w:rsid w:val="53DF0237"/>
    <w:rsid w:val="54C76FC3"/>
    <w:rsid w:val="561C1C6D"/>
    <w:rsid w:val="56810241"/>
    <w:rsid w:val="59795DD5"/>
    <w:rsid w:val="5A137FC3"/>
    <w:rsid w:val="5A5750E3"/>
    <w:rsid w:val="5B156952"/>
    <w:rsid w:val="5BFFB541"/>
    <w:rsid w:val="5C2A2EE7"/>
    <w:rsid w:val="5C5B5125"/>
    <w:rsid w:val="5CAB6A0C"/>
    <w:rsid w:val="5DEC32D5"/>
    <w:rsid w:val="5E6F7D64"/>
    <w:rsid w:val="5EDA630E"/>
    <w:rsid w:val="60324DC1"/>
    <w:rsid w:val="632D7E57"/>
    <w:rsid w:val="653006DF"/>
    <w:rsid w:val="66174D32"/>
    <w:rsid w:val="661767A1"/>
    <w:rsid w:val="6635040F"/>
    <w:rsid w:val="66DF137A"/>
    <w:rsid w:val="67CF865A"/>
    <w:rsid w:val="67D93C39"/>
    <w:rsid w:val="67FD4581"/>
    <w:rsid w:val="68BE0F0C"/>
    <w:rsid w:val="69760625"/>
    <w:rsid w:val="69EE5083"/>
    <w:rsid w:val="6A395D27"/>
    <w:rsid w:val="6AFD4980"/>
    <w:rsid w:val="6B3D7CC0"/>
    <w:rsid w:val="6B9778CC"/>
    <w:rsid w:val="6CB52BD7"/>
    <w:rsid w:val="6CF86E83"/>
    <w:rsid w:val="6F6B18E7"/>
    <w:rsid w:val="734A2954"/>
    <w:rsid w:val="73F7F675"/>
    <w:rsid w:val="74BB2F3A"/>
    <w:rsid w:val="756856D4"/>
    <w:rsid w:val="7619702A"/>
    <w:rsid w:val="77DB0D46"/>
    <w:rsid w:val="77DF9F9B"/>
    <w:rsid w:val="77F32AC6"/>
    <w:rsid w:val="78AC29F8"/>
    <w:rsid w:val="790C4728"/>
    <w:rsid w:val="795C7C46"/>
    <w:rsid w:val="79DFEE55"/>
    <w:rsid w:val="79FC7D81"/>
    <w:rsid w:val="7ACC66BD"/>
    <w:rsid w:val="7B237B1E"/>
    <w:rsid w:val="7B6F2FBB"/>
    <w:rsid w:val="7BA40D5A"/>
    <w:rsid w:val="7BFFAAA3"/>
    <w:rsid w:val="7C7E19F7"/>
    <w:rsid w:val="7CDF6A45"/>
    <w:rsid w:val="7E134AC7"/>
    <w:rsid w:val="7E256A79"/>
    <w:rsid w:val="7E5A3491"/>
    <w:rsid w:val="7E974BB7"/>
    <w:rsid w:val="7EFB1DDB"/>
    <w:rsid w:val="7F3BCE24"/>
    <w:rsid w:val="7F7D1931"/>
    <w:rsid w:val="7FB9E08A"/>
    <w:rsid w:val="7FD00453"/>
    <w:rsid w:val="7FD1325A"/>
    <w:rsid w:val="7FDF246B"/>
    <w:rsid w:val="7FEB5119"/>
    <w:rsid w:val="7FED241F"/>
    <w:rsid w:val="7FED934C"/>
    <w:rsid w:val="7FF724CA"/>
    <w:rsid w:val="7FFB64F7"/>
    <w:rsid w:val="7FFCE247"/>
    <w:rsid w:val="9F7542B7"/>
    <w:rsid w:val="ABFF0A75"/>
    <w:rsid w:val="AEEFFD07"/>
    <w:rsid w:val="B3BFB5B8"/>
    <w:rsid w:val="B3EF0EBC"/>
    <w:rsid w:val="B4FF008B"/>
    <w:rsid w:val="B9FB961C"/>
    <w:rsid w:val="BD3FD3AB"/>
    <w:rsid w:val="BD7FCED9"/>
    <w:rsid w:val="BEBF4627"/>
    <w:rsid w:val="BF5F76BF"/>
    <w:rsid w:val="BF9D9A84"/>
    <w:rsid w:val="D59F9CAF"/>
    <w:rsid w:val="DAAFC31A"/>
    <w:rsid w:val="DFFCA41C"/>
    <w:rsid w:val="E692D759"/>
    <w:rsid w:val="E96B1413"/>
    <w:rsid w:val="EBDE9839"/>
    <w:rsid w:val="F4D64A82"/>
    <w:rsid w:val="F4DF305B"/>
    <w:rsid w:val="F5FDC661"/>
    <w:rsid w:val="F8FFCE69"/>
    <w:rsid w:val="FBBCD9DD"/>
    <w:rsid w:val="FCB9F677"/>
    <w:rsid w:val="FD9F7734"/>
    <w:rsid w:val="FDB768DD"/>
    <w:rsid w:val="FE6BEE81"/>
    <w:rsid w:val="FEEF4A1C"/>
    <w:rsid w:val="FEFF10B1"/>
    <w:rsid w:val="FF3FB3B0"/>
    <w:rsid w:val="FFDD2305"/>
    <w:rsid w:val="FFFFF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semiHidden/>
    <w:unhideWhenUsed/>
    <w:qFormat/>
    <w:uiPriority w:val="99"/>
    <w:rPr>
      <w:color w:val="000000"/>
      <w:sz w:val="24"/>
      <w:szCs w:val="24"/>
      <w:u w:val="none"/>
      <w:vertAlign w:val="baseline"/>
    </w:rPr>
  </w:style>
  <w:style w:type="character" w:styleId="9">
    <w:name w:val="HTML Acronym"/>
    <w:basedOn w:val="7"/>
    <w:semiHidden/>
    <w:unhideWhenUsed/>
    <w:qFormat/>
    <w:uiPriority w:val="99"/>
    <w:rPr>
      <w:sz w:val="24"/>
      <w:szCs w:val="24"/>
      <w:vertAlign w:val="baseline"/>
    </w:rPr>
  </w:style>
  <w:style w:type="character" w:styleId="10">
    <w:name w:val="Hyperlink"/>
    <w:basedOn w:val="7"/>
    <w:semiHidden/>
    <w:unhideWhenUsed/>
    <w:qFormat/>
    <w:uiPriority w:val="99"/>
    <w:rPr>
      <w:color w:val="000000"/>
      <w:sz w:val="24"/>
      <w:szCs w:val="24"/>
      <w:u w:val="none"/>
      <w:vertAlign w:val="baseline"/>
    </w:rPr>
  </w:style>
  <w:style w:type="character" w:styleId="11">
    <w:name w:val="HTML Code"/>
    <w:basedOn w:val="7"/>
    <w:semiHidden/>
    <w:unhideWhenUsed/>
    <w:qFormat/>
    <w:uiPriority w:val="99"/>
    <w:rPr>
      <w:rFonts w:ascii="Courier New" w:hAnsi="Courier New"/>
      <w:sz w:val="24"/>
      <w:szCs w:val="24"/>
      <w:vertAlign w:val="baseline"/>
    </w:rPr>
  </w:style>
  <w:style w:type="character" w:styleId="12">
    <w:name w:val="HTML Cite"/>
    <w:basedOn w:val="7"/>
    <w:semiHidden/>
    <w:unhideWhenUsed/>
    <w:qFormat/>
    <w:uiPriority w:val="99"/>
    <w:rPr>
      <w:i/>
      <w:sz w:val="24"/>
      <w:szCs w:val="24"/>
      <w:vertAlign w:val="baseline"/>
    </w:rPr>
  </w:style>
  <w:style w:type="character" w:customStyle="1" w:styleId="13">
    <w:name w:val="页眉 Char"/>
    <w:basedOn w:val="7"/>
    <w:link w:val="4"/>
    <w:qFormat/>
    <w:uiPriority w:val="99"/>
    <w:rPr>
      <w:sz w:val="18"/>
      <w:szCs w:val="18"/>
    </w:rPr>
  </w:style>
  <w:style w:type="character" w:customStyle="1" w:styleId="14">
    <w:name w:val="页脚 Char"/>
    <w:basedOn w:val="7"/>
    <w:link w:val="3"/>
    <w:qFormat/>
    <w:uiPriority w:val="99"/>
    <w:rPr>
      <w:sz w:val="18"/>
      <w:szCs w:val="18"/>
    </w:rPr>
  </w:style>
  <w:style w:type="character" w:customStyle="1" w:styleId="15">
    <w:name w:val="批注框文本 Char"/>
    <w:basedOn w:val="7"/>
    <w:link w:val="2"/>
    <w:semiHidden/>
    <w:qFormat/>
    <w:uiPriority w:val="99"/>
    <w:rPr>
      <w:sz w:val="18"/>
      <w:szCs w:val="18"/>
    </w:rPr>
  </w:style>
  <w:style w:type="character" w:customStyle="1" w:styleId="16">
    <w:name w:val="input_text1"/>
    <w:basedOn w:val="7"/>
    <w:qFormat/>
    <w:uiPriority w:val="0"/>
    <w:rPr>
      <w:sz w:val="18"/>
      <w:szCs w:val="18"/>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Company>
  <Pages>5</Pages>
  <Words>2588</Words>
  <Characters>2735</Characters>
  <Lines>27</Lines>
  <Paragraphs>7</Paragraphs>
  <TotalTime>14</TotalTime>
  <ScaleCrop>false</ScaleCrop>
  <LinksUpToDate>false</LinksUpToDate>
  <CharactersWithSpaces>2800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2024-01-14T03:37:00Z</dcterms:created>
  <dc:creator>赵永华</dc:creator>
  <cp:lastModifiedBy>PC</cp:lastModifiedBy>
  <cp:lastPrinted>2025-03-06T03:51:00Z</cp:lastPrinted>
  <dcterms:modified xsi:type="dcterms:W3CDTF">2026-03-12T02:08:51Z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B1253D0819CFA0B50EFD6967F7BA557C</vt:lpwstr>
  </property>
  <property fmtid="{D5CDD505-2E9C-101B-9397-08002B2CF9AE}" pid="4" name="KSOTemplateDocerSaveRecord">
    <vt:lpwstr>eyJoZGlkIjoiNjBjY2MyYmE1NjRhZTAyZDkyYmNiNGI1OGUxZjIxZTEiLCJ1c2VySWQiOiIzNDMzMzE0NTQifQ==</vt:lpwstr>
  </property>
</Properties>
</file>