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sz w:val="44"/>
                <w:szCs w:val="44"/>
              </w:rPr>
              <w:t>江门市消费者权益保护委员会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6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年“3·15</w:t>
            </w:r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”国际消费者权益日</w:t>
            </w:r>
          </w:p>
          <w:p>
            <w:pPr>
              <w:spacing w:line="560" w:lineRule="exact"/>
              <w:jc w:val="center"/>
              <w:rPr>
                <w:rFonts w:ascii="华文中宋" w:hAnsi="华文中宋" w:eastAsia="华文中宋" w:cs="方正小标宋简体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系列宣传教育活动项目招标综合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评审表</w:t>
            </w:r>
          </w:p>
        </w:tc>
      </w:tr>
    </w:tbl>
    <w:p/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80"/>
        <w:gridCol w:w="1125"/>
        <w:gridCol w:w="927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8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以所有合格投标人评标价的最低价作为评分基准价。投标人的价格分按下式计算：价格分=（评分基准价/评标价）×20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（权重50%）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根据投标人近三年内同类项目经验、合作成效进行综合比较打分。优15-12分，良11-9分，一般8分以下。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根据投标人媒体宣传影响力、资产背景、财务状况、经营情况、资质荣誉等综合实力进行综合比较。优10-8分，良7-6分，一般5分以下。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根据投标人的专项工作组组成人员的宣传策划能力、协调组织能力、直播设备水平以及联系抖音博主的粉丝量等情况进行综合比较打分。优10-8分，良7-6分，一般5分以下。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根据投标人对本项目的服务承诺、保证措施等进行综合比较。优10-8分，良7-6分，一般5分以下。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根据投标文件的印刷装订质量，内容一致完整性，是否有目录，佐证材料是否有效充分等综合评定。优5-4分，良3分，一般2分以下。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（权重30%）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根据投标人对项目的认识及理解、对项目重点、难点分析把握等进行综合比较。优10-8分，良7-6分，一般5分以下。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根据投标人的服务方案，包括策划设计、流程节点、实施计划等是否完善周到、可行，进行综合比较。优20-16分，良15-12分，一般11分以下。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pgSz w:w="16838" w:h="11906" w:orient="landscape"/>
      <w:pgMar w:top="28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3"/>
    <w:rsid w:val="00200F73"/>
    <w:rsid w:val="007D2A87"/>
    <w:rsid w:val="00953616"/>
    <w:rsid w:val="00B944C5"/>
    <w:rsid w:val="00EA7C1C"/>
    <w:rsid w:val="F4F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2025-02-05T11:30:00Z</dcterms:created>
  <dc:creator>AutoBVT</dc:creator>
  <cp:lastModifiedBy>greatwall</cp:lastModifiedBy>
  <dcterms:modified xsi:type="dcterms:W3CDTF">2026-02-13T10:45:26Z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A8792E69F4C63DDB46908E69E583D167</vt:lpwstr>
  </property>
</Properties>
</file>