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  <w:lang w:eastAsia="zh-CN"/>
        </w:rPr>
        <w:t>广东省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  <w:t>工业遗产申请书</w:t>
      </w: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遗  产  名  称：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 xml:space="preserve">   </w:t>
      </w: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申  请  单  位：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       （加盖公章）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 xml:space="preserve">   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所  属  地  区：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 xml:space="preserve">         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highlight w:val="none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申  报  日  期：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 xml:space="preserve">年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月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  <w:highlight w:val="none"/>
        </w:rPr>
        <w:t xml:space="preserve">   </w:t>
      </w: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szCs w:val="20"/>
          <w:highlight w:val="none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szCs w:val="20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eastAsia="zh-CN"/>
        </w:rPr>
        <w:t>广东省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  <w:t>工业和信息化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eastAsia="zh-CN"/>
        </w:rPr>
        <w:t>厅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  <w:t>印制</w:t>
      </w: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44"/>
          <w:highlight w:val="none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pStyle w:val="6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highlight w:val="none"/>
        </w:rPr>
        <w:t>填 写 须 知</w:t>
      </w: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1.本申请书为申请单位（遗产所有权人）填写。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2.需用黑色笔书写或电子方式填写，确保字迹清楚。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3.申请单位应按照填写要求和实际情况，认真填写各个表项，确保所填资料真实准确。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4.“工业类别”参考《国民经济行业分类》，精确到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5.申请声明末尾务请申请单位法定代表人签名，并加盖单位公章。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6.本申请书所有填报项目页面不足时，可另附页面。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7.所填事项中涉及授权、委托、批准、获奖、知识产权</w:t>
      </w:r>
    </w:p>
    <w:p>
      <w:pPr>
        <w:autoSpaceDN w:val="0"/>
        <w:spacing w:line="720" w:lineRule="exact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及地方政府制定政策、规划等事项，需附相关佐证材料。</w:t>
      </w:r>
    </w:p>
    <w:p>
      <w:pPr>
        <w:autoSpaceDN w:val="0"/>
        <w:spacing w:line="720" w:lineRule="exact"/>
        <w:ind w:firstLine="640" w:firstLineChars="200"/>
        <w:jc w:val="left"/>
        <w:textAlignment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highlight w:val="none"/>
        </w:rPr>
        <w:t>申 请 声 明</w:t>
      </w: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1.本单位自愿向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工业和信息化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提出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工业遗产认定申请。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2.本单位自愿遵守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工业和信息化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有关工业遗产保护利用的要求及相关文件规定。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3.本单位承诺妥善管理该工业遗产，定时监控保存状况，及时采取保护加固和修复措施。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4.本单位自愿提供工业遗产监督管理所需的数据资料，并为其审查工作提供方便。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5.本单位所提供的申请表内容及附件材料均属实，并符合国家保密管理规定要求，否则愿承担一切责任。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申请单位法定代表人（签名）：</w:t>
      </w:r>
    </w:p>
    <w:p>
      <w:pPr>
        <w:autoSpaceDN w:val="0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autoSpaceDN w:val="0"/>
        <w:ind w:firstLine="5440" w:firstLineChars="17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申请单位盖章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autoSpaceDN w:val="0"/>
        <w:ind w:firstLine="5760" w:firstLineChars="1800"/>
        <w:textAlignment w:val="center"/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年   月   日</w:t>
      </w:r>
    </w:p>
    <w:p>
      <w:pP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cs="Times New Roman"/>
          <w:vanish/>
          <w:color w:val="auto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beforeLines="0" w:after="260" w:afterLines="0" w:line="360" w:lineRule="auto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广东省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工业遗产申报项目推荐表</w:t>
      </w:r>
    </w:p>
    <w:tbl>
      <w:tblPr>
        <w:tblStyle w:val="10"/>
        <w:tblW w:w="84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12"/>
        <w:gridCol w:w="1200"/>
        <w:gridCol w:w="1853"/>
        <w:gridCol w:w="1049"/>
        <w:gridCol w:w="884"/>
        <w:gridCol w:w="19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申请单位</w:t>
            </w:r>
          </w:p>
        </w:tc>
        <w:tc>
          <w:tcPr>
            <w:tcW w:w="69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遗产名称</w:t>
            </w:r>
          </w:p>
        </w:tc>
        <w:tc>
          <w:tcPr>
            <w:tcW w:w="69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遗产地址</w:t>
            </w:r>
          </w:p>
        </w:tc>
        <w:tc>
          <w:tcPr>
            <w:tcW w:w="69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工业类别</w:t>
            </w:r>
          </w:p>
        </w:tc>
        <w:tc>
          <w:tcPr>
            <w:tcW w:w="3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建成年代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59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省级以上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文物保护单位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非物质文化遗产、历史建筑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中华老字号</w:t>
            </w:r>
          </w:p>
        </w:tc>
        <w:tc>
          <w:tcPr>
            <w:tcW w:w="3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u w:val="single"/>
              </w:rPr>
              <w:t xml:space="preserve">  （请填写名称）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申请单位遗产相关管理部门情况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部门名称</w:t>
            </w:r>
          </w:p>
        </w:tc>
        <w:tc>
          <w:tcPr>
            <w:tcW w:w="573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负责人</w:t>
            </w:r>
          </w:p>
        </w:tc>
        <w:tc>
          <w:tcPr>
            <w:tcW w:w="573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联系方式</w:t>
            </w:r>
          </w:p>
        </w:tc>
        <w:tc>
          <w:tcPr>
            <w:tcW w:w="29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（固定电话）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（手机）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遗产核心物项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784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1.厂房、车间、作坊、矿区等生产储运设施，与工业相关的管理和科研场所、其他生活服务设施及构筑物等；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2.机器设备、生产工具、办公用具、产品、档案等；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3.生产工艺、规章制度、企业文化、工业精神等。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例：1.20世纪50年代建成的生产车间，2.XX机床。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以上内容需附相关图片材料，要求详见第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部分附件图片（一）核心物项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区域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范围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784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遗产本体及周围划定实施保护的区域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47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遗产所在地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人民政府意见</w:t>
            </w:r>
          </w:p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（加盖公章）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           年      月      日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847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地级以上市工业和信息化局意见</w:t>
            </w: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  <w:t>（此次采取线上申报、推荐，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  <w:t>意见以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  <w:t>地级以上市工业和信息化局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</w:rPr>
              <w:t>来推荐函为准）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          （加盖公章）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           年      月   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847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630" w:firstLineChars="3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备注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（需要说明的其他事项）</w:t>
            </w:r>
          </w:p>
          <w:p>
            <w:pPr>
              <w:pStyle w:val="5"/>
              <w:ind w:firstLine="630" w:firstLineChars="30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例：200X年被认定为全国重点文物保护单位，省级文物保护单位、非物质文化遗产、历史建筑，中华老字号。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0"/>
          <w:highlight w:val="none"/>
        </w:rPr>
        <w:t>注：所有材料内容均不涉及国家秘密，符合国家保密管理规定要求。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二、遗产基本情况概述（500字以内）</w:t>
      </w:r>
    </w:p>
    <w:p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（一）基本情况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（名称，地址，包含的主要核心物项类别和数量，已被认定文物、非遗、历史建筑等）。</w:t>
      </w:r>
    </w:p>
    <w:p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二）历史沿革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（建设背景，建成时间，生产经营的主要发展过程）。</w:t>
      </w:r>
    </w:p>
    <w:p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（三）主要特点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（从行业、地域、时期等方面阐述遗产的主要特色内容）。</w:t>
      </w:r>
    </w:p>
    <w:p>
      <w:pPr>
        <w:widowControl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（四）主要价值和重要意义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（简述遗产蕴涵的历史、社会、科技、艺术价值，以及对推动社会变革、经济发展、行业进步方面的作用）。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、遗产项目价值描述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结合工业遗产实际情况，对遗产项目价值进行描述，不要求每项都满足。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（一）历史价值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见证了本行业在中国、广东省的发端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；对中国、广东省工业化进程具有显著的推进作用；涉及与重要的历史事件、人物的紧密联系；属于洋务运动、民族资本主义工商业；轻纺、食品加工、中成药业等轻工业和传统手工业；“大小三线建设”重大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；能反映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早期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与港、澳、台合作投资、彰显改革开放成果的代表性项目；能突出广东外贸大省特色，对世界产生重要外贸影响的代表性项目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p>
      <w:pPr>
        <w:autoSpaceDN w:val="0"/>
        <w:spacing w:line="560" w:lineRule="exact"/>
        <w:ind w:firstLine="56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（二）科技价值（技术或工艺具有创新性、重要性或独特性；对行业发展进程具有重要影响等）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（三）社会价值（对社会经济文化生活变迁具有重要影响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形成了有影响力的工业精神、生产制度或企业文化；反映了工业生产及其相关社区生活的时代特性和社会风貌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（四）艺术价值（工业生产或生活设施构成的工业景观具有较强的独特性或代表性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；设施设备、建构筑物、产品对某一生产技艺或企业具有极强的代表性，或与非遗代表性项目和传承人有紧密联系等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、遗产项目保护利用工作基础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（一）遗产项目保存现状（历次维修、改造情况；核心物项的完整程度，重建、修复及保存状况；相关档案记录）</w:t>
      </w:r>
    </w:p>
    <w:p>
      <w:pPr>
        <w:autoSpaceDN w:val="0"/>
        <w:spacing w:line="560" w:lineRule="exact"/>
        <w:ind w:firstLine="560" w:firstLineChars="200"/>
        <w:textAlignment w:val="center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（二）遗产项目管理制度（本地政府、相关部门及申报单位已出台的涉及工业遗产保护的有关法律法规、政策、标准以及资金、项目支持等情况）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（三）保护利用工作措施及成效（相关工作机制情况；相关保护利用政策措施执行情况及效果；保护利用的社会和经济效益）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、遗产项目保护利用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计划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包括但不限于以下内容：3-5年内工业遗产项目保护利用的指导思想、主要原则、目标和任务、工作机制、相关保障措施等。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、附件图片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（一）核心物项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遗产项目核心物项的现状与历史对比照片，并附保存现状年代信息、物项历史名称和现状名称等说明。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（二）产权证明材料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能证明遗产所有权归属的证明材料。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（三）其他证明材料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其他证明材料。主要指与遗产项目相关的重要历史文献、书面材料；工业景观、产品、工具、文化活动以及保护利用活动场景，并附文字说明；能证明其价值的所获得的荣誉、奖励、认证、科学研究成果证明以及其他资料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以上电子版图片需统一编号，jpg格式，像素不低于350dpi。</w:t>
      </w:r>
    </w:p>
    <w:p>
      <w:pPr>
        <w:pStyle w:val="3"/>
        <w:spacing w:line="560" w:lineRule="exact"/>
        <w:ind w:left="0" w:firstLine="640" w:firstLineChars="200"/>
        <w:jc w:val="both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</w:rPr>
        <w:t>、视频资料（U盘）</w:t>
      </w:r>
    </w:p>
    <w:p>
      <w:pPr>
        <w:spacing w:line="560" w:lineRule="exact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为了真实展现遗产项目的整体概况，所包含核心物项的保存现状以及当前保护利用工作情况等内容，申请单位还应提交相关音视频资料。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技术要求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  <w:lang w:eastAsia="zh-CN"/>
        </w:rPr>
        <w:t>：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格式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mp4，高清。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时长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5分钟左右。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画外音及字幕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highlight w:val="none"/>
        </w:rPr>
        <w:t>配有普通话解说词，并配以中文字幕。</w:t>
      </w:r>
    </w:p>
    <w:p>
      <w:pPr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>
      <w:pPr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7C818"/>
    <w:rsid w:val="1DDE17D9"/>
    <w:rsid w:val="1FFF98B9"/>
    <w:rsid w:val="237D2FE1"/>
    <w:rsid w:val="2D7DD23C"/>
    <w:rsid w:val="2EDE1012"/>
    <w:rsid w:val="2F3E33BB"/>
    <w:rsid w:val="34827587"/>
    <w:rsid w:val="377D4B51"/>
    <w:rsid w:val="377F70D5"/>
    <w:rsid w:val="3DADE366"/>
    <w:rsid w:val="3EAB0813"/>
    <w:rsid w:val="3EFF9281"/>
    <w:rsid w:val="3F6F046B"/>
    <w:rsid w:val="3FF9FBC8"/>
    <w:rsid w:val="47EBCAFD"/>
    <w:rsid w:val="4CFBBD37"/>
    <w:rsid w:val="4FFEE91A"/>
    <w:rsid w:val="55FCDE88"/>
    <w:rsid w:val="5BB706B2"/>
    <w:rsid w:val="5C3F9F47"/>
    <w:rsid w:val="5E778CD7"/>
    <w:rsid w:val="5EDFFABF"/>
    <w:rsid w:val="5F1F891E"/>
    <w:rsid w:val="5FD71D80"/>
    <w:rsid w:val="5FFD9881"/>
    <w:rsid w:val="637F6249"/>
    <w:rsid w:val="645E5337"/>
    <w:rsid w:val="67DF91DB"/>
    <w:rsid w:val="67FBBB9F"/>
    <w:rsid w:val="6F7F8B7F"/>
    <w:rsid w:val="6FC9285E"/>
    <w:rsid w:val="6FE7A5B0"/>
    <w:rsid w:val="6FF94C1E"/>
    <w:rsid w:val="71EB25BE"/>
    <w:rsid w:val="71FFA213"/>
    <w:rsid w:val="751F7883"/>
    <w:rsid w:val="77797A3D"/>
    <w:rsid w:val="777F634C"/>
    <w:rsid w:val="77AD9BB5"/>
    <w:rsid w:val="77DF4F73"/>
    <w:rsid w:val="78E500DE"/>
    <w:rsid w:val="793E2D8B"/>
    <w:rsid w:val="79FFF540"/>
    <w:rsid w:val="7ADE1DE0"/>
    <w:rsid w:val="7BAD5F52"/>
    <w:rsid w:val="7BFB7FDB"/>
    <w:rsid w:val="7CDBD6D6"/>
    <w:rsid w:val="7DD42CFA"/>
    <w:rsid w:val="7F2F3A7E"/>
    <w:rsid w:val="7FEF60F0"/>
    <w:rsid w:val="7FF0612D"/>
    <w:rsid w:val="7FF5422E"/>
    <w:rsid w:val="7FFD86D6"/>
    <w:rsid w:val="7FFF3C6B"/>
    <w:rsid w:val="9C7788C4"/>
    <w:rsid w:val="9F1D4834"/>
    <w:rsid w:val="A55F72EA"/>
    <w:rsid w:val="B6FEE934"/>
    <w:rsid w:val="BBDEBD7D"/>
    <w:rsid w:val="BCFF5477"/>
    <w:rsid w:val="BDFFF3D1"/>
    <w:rsid w:val="BFE36A00"/>
    <w:rsid w:val="C77D935A"/>
    <w:rsid w:val="CEE54064"/>
    <w:rsid w:val="CF5FCB42"/>
    <w:rsid w:val="D673FF97"/>
    <w:rsid w:val="D7AD19A5"/>
    <w:rsid w:val="DBF14F40"/>
    <w:rsid w:val="DE767EF2"/>
    <w:rsid w:val="DEECC7A8"/>
    <w:rsid w:val="E54D7069"/>
    <w:rsid w:val="EBFB9AAE"/>
    <w:rsid w:val="ED7C1BF5"/>
    <w:rsid w:val="ED9E38DE"/>
    <w:rsid w:val="EE766A7C"/>
    <w:rsid w:val="F1FDD5F8"/>
    <w:rsid w:val="F5AFCCAF"/>
    <w:rsid w:val="F6F7E76E"/>
    <w:rsid w:val="F6FB4686"/>
    <w:rsid w:val="F7F53815"/>
    <w:rsid w:val="F7F740E6"/>
    <w:rsid w:val="F7FFC322"/>
    <w:rsid w:val="F7FFD6EC"/>
    <w:rsid w:val="F8AF5D20"/>
    <w:rsid w:val="F8AF6B43"/>
    <w:rsid w:val="F8FF5408"/>
    <w:rsid w:val="FB1A9F7A"/>
    <w:rsid w:val="FC1D6635"/>
    <w:rsid w:val="FD3A7220"/>
    <w:rsid w:val="FDF792B3"/>
    <w:rsid w:val="FDFE03DD"/>
    <w:rsid w:val="FECFD1BD"/>
    <w:rsid w:val="FED9AA4B"/>
    <w:rsid w:val="FEF5F333"/>
    <w:rsid w:val="FF7F7AD3"/>
    <w:rsid w:val="FFD7F14F"/>
    <w:rsid w:val="FFDF7BB2"/>
    <w:rsid w:val="FFECDBD5"/>
    <w:rsid w:val="FFF9A94C"/>
    <w:rsid w:val="FFFBF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 w:val="24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hint="eastAsia" w:ascii="方正小标宋_GBK" w:hAnsi="方正小标宋_GBK" w:eastAsia="方正小标宋_GBK"/>
      <w:sz w:val="44"/>
      <w:szCs w:val="4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12">
    <w:name w:val="apple-converted-space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2014-11-15T04:08:00Z</dcterms:created>
  <dc:creator>Administrator</dc:creator>
  <cp:lastModifiedBy>岑冠聪</cp:lastModifiedBy>
  <dcterms:modified xsi:type="dcterms:W3CDTF">2026-02-03T08:50:37Z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F73E10D80A6454D0628439680672E8B4</vt:lpwstr>
  </property>
</Properties>
</file>