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b/>
          <w:bCs/>
          <w:color w:val="000000"/>
          <w:sz w:val="36"/>
          <w:szCs w:val="36"/>
          <w:lang w:val="en-US" w:eastAsia="zh-CN"/>
        </w:rPr>
      </w:pPr>
      <w:r>
        <w:rPr>
          <w:rFonts w:hint="eastAsia" w:ascii="仿宋_GB2312" w:hAnsi="仿宋_GB2312" w:eastAsia="仿宋_GB2312" w:cs="仿宋_GB2312"/>
          <w:b/>
          <w:bCs/>
          <w:color w:val="000000"/>
          <w:sz w:val="36"/>
          <w:szCs w:val="36"/>
          <w:lang w:val="en-US" w:eastAsia="zh-CN"/>
        </w:rPr>
        <w:t>关于修编《江门港港口章程》反馈意见及处理情况汇总表</w:t>
      </w:r>
    </w:p>
    <w:tbl>
      <w:tblPr>
        <w:tblStyle w:val="7"/>
        <w:tblW w:w="157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1923"/>
        <w:gridCol w:w="1187"/>
        <w:gridCol w:w="6063"/>
        <w:gridCol w:w="5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11" w:type="dxa"/>
            <w:noWrap w:val="0"/>
            <w:tcMar>
              <w:top w:w="0" w:type="dxa"/>
              <w:left w:w="108" w:type="dxa"/>
              <w:bottom w:w="0" w:type="dxa"/>
              <w:right w:w="108" w:type="dxa"/>
            </w:tcMar>
            <w:vAlign w:val="center"/>
          </w:tcPr>
          <w:p>
            <w:pPr>
              <w:spacing w:line="240" w:lineRule="auto"/>
              <w:jc w:val="cente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序号</w:t>
            </w:r>
          </w:p>
        </w:tc>
        <w:tc>
          <w:tcPr>
            <w:tcW w:w="1923" w:type="dxa"/>
            <w:noWrap w:val="0"/>
            <w:tcMar>
              <w:top w:w="0" w:type="dxa"/>
              <w:left w:w="108" w:type="dxa"/>
              <w:bottom w:w="0" w:type="dxa"/>
              <w:right w:w="108" w:type="dxa"/>
            </w:tcMar>
            <w:vAlign w:val="center"/>
          </w:tcPr>
          <w:p>
            <w:pPr>
              <w:spacing w:line="240" w:lineRule="auto"/>
              <w:jc w:val="center"/>
              <w:rPr>
                <w:rFonts w:hint="default"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反馈者联系方式</w:t>
            </w:r>
          </w:p>
        </w:tc>
        <w:tc>
          <w:tcPr>
            <w:tcW w:w="1187" w:type="dxa"/>
            <w:noWrap w:val="0"/>
            <w:tcMar>
              <w:top w:w="0" w:type="dxa"/>
              <w:left w:w="108" w:type="dxa"/>
              <w:bottom w:w="0" w:type="dxa"/>
              <w:right w:w="108" w:type="dxa"/>
            </w:tcMar>
            <w:vAlign w:val="center"/>
          </w:tcPr>
          <w:p>
            <w:pPr>
              <w:spacing w:line="240" w:lineRule="auto"/>
              <w:jc w:val="center"/>
              <w:rPr>
                <w:rFonts w:hint="default"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反馈渠道</w:t>
            </w:r>
          </w:p>
        </w:tc>
        <w:tc>
          <w:tcPr>
            <w:tcW w:w="6063" w:type="dxa"/>
            <w:noWrap w:val="0"/>
            <w:tcMar>
              <w:top w:w="0" w:type="dxa"/>
              <w:left w:w="108" w:type="dxa"/>
              <w:bottom w:w="0" w:type="dxa"/>
              <w:right w:w="108" w:type="dxa"/>
            </w:tcMar>
            <w:vAlign w:val="center"/>
          </w:tcPr>
          <w:p>
            <w:pPr>
              <w:spacing w:line="240" w:lineRule="auto"/>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主要</w:t>
            </w:r>
            <w:r>
              <w:rPr>
                <w:rFonts w:hint="eastAsia" w:ascii="仿宋" w:hAnsi="仿宋" w:eastAsia="仿宋" w:cs="仿宋"/>
                <w:b/>
                <w:bCs/>
                <w:color w:val="auto"/>
                <w:sz w:val="24"/>
                <w:szCs w:val="24"/>
              </w:rPr>
              <w:t>意见</w:t>
            </w:r>
            <w:r>
              <w:rPr>
                <w:rFonts w:hint="eastAsia" w:ascii="仿宋" w:hAnsi="仿宋" w:eastAsia="仿宋" w:cs="仿宋"/>
                <w:b/>
                <w:bCs/>
                <w:color w:val="auto"/>
                <w:sz w:val="24"/>
                <w:szCs w:val="24"/>
                <w:lang w:val="en-US" w:eastAsia="zh-CN"/>
              </w:rPr>
              <w:t>和</w:t>
            </w:r>
            <w:r>
              <w:rPr>
                <w:rFonts w:hint="eastAsia" w:ascii="仿宋" w:hAnsi="仿宋" w:eastAsia="仿宋" w:cs="仿宋"/>
                <w:b/>
                <w:bCs/>
                <w:color w:val="auto"/>
                <w:sz w:val="24"/>
                <w:szCs w:val="24"/>
              </w:rPr>
              <w:t>建议</w:t>
            </w:r>
          </w:p>
        </w:tc>
        <w:tc>
          <w:tcPr>
            <w:tcW w:w="5812" w:type="dxa"/>
            <w:noWrap w:val="0"/>
            <w:tcMar>
              <w:top w:w="0" w:type="dxa"/>
              <w:left w:w="108" w:type="dxa"/>
              <w:bottom w:w="0" w:type="dxa"/>
              <w:right w:w="108" w:type="dxa"/>
            </w:tcMar>
            <w:vAlign w:val="center"/>
          </w:tcPr>
          <w:p>
            <w:pPr>
              <w:spacing w:line="240" w:lineRule="auto"/>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采纳情况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shd w:val="clear" w:color="auto" w:fill="auto"/>
            <w:noWrap w:val="0"/>
            <w:tcMar>
              <w:top w:w="0" w:type="dxa"/>
              <w:left w:w="108" w:type="dxa"/>
              <w:bottom w:w="0" w:type="dxa"/>
              <w:right w:w="108" w:type="dxa"/>
            </w:tcMar>
            <w:vAlign w:val="center"/>
          </w:tcPr>
          <w:p>
            <w:pPr>
              <w:spacing w:line="240" w:lineRule="auto"/>
              <w:jc w:val="center"/>
              <w:rPr>
                <w:rFonts w:hint="default" w:ascii="仿宋" w:hAnsi="仿宋" w:eastAsia="仿宋" w:cs="仿宋"/>
                <w:b/>
                <w:bCs/>
                <w:color w:val="auto"/>
                <w:sz w:val="24"/>
                <w:szCs w:val="24"/>
                <w:lang w:val="en-US" w:eastAsia="zh-CN"/>
              </w:rPr>
            </w:pPr>
            <w:r>
              <w:rPr>
                <w:rFonts w:hint="eastAsia" w:ascii="仿宋" w:hAnsi="仿宋" w:eastAsia="仿宋" w:cs="仿宋"/>
                <w:b w:val="0"/>
                <w:bCs w:val="0"/>
                <w:color w:val="auto"/>
                <w:sz w:val="24"/>
                <w:szCs w:val="24"/>
                <w:lang w:val="en-US" w:eastAsia="zh-CN"/>
              </w:rPr>
              <w:t>1</w:t>
            </w:r>
          </w:p>
        </w:tc>
        <w:tc>
          <w:tcPr>
            <w:tcW w:w="1923" w:type="dxa"/>
            <w:shd w:val="clear" w:color="auto" w:fill="auto"/>
            <w:noWrap w:val="0"/>
            <w:tcMar>
              <w:top w:w="0" w:type="dxa"/>
              <w:left w:w="108" w:type="dxa"/>
              <w:bottom w:w="0" w:type="dxa"/>
              <w:right w:w="108" w:type="dxa"/>
            </w:tcMar>
            <w:vAlign w:val="center"/>
          </w:tcPr>
          <w:p>
            <w:pPr>
              <w:spacing w:line="240" w:lineRule="auto"/>
              <w:jc w:val="center"/>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val="en-US" w:eastAsia="zh-CN"/>
              </w:rPr>
              <w:t>0750-36****0</w:t>
            </w:r>
          </w:p>
        </w:tc>
        <w:tc>
          <w:tcPr>
            <w:tcW w:w="1187" w:type="dxa"/>
            <w:shd w:val="clear" w:color="auto" w:fill="auto"/>
            <w:noWrap w:val="0"/>
            <w:tcMar>
              <w:top w:w="0" w:type="dxa"/>
              <w:left w:w="108" w:type="dxa"/>
              <w:bottom w:w="0" w:type="dxa"/>
              <w:right w:w="108" w:type="dxa"/>
            </w:tcMar>
            <w:vAlign w:val="center"/>
          </w:tcPr>
          <w:p>
            <w:pPr>
              <w:jc w:val="center"/>
              <w:rPr>
                <w:rFonts w:hint="default"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邮箱</w:t>
            </w:r>
          </w:p>
        </w:tc>
        <w:tc>
          <w:tcPr>
            <w:tcW w:w="6063" w:type="dxa"/>
            <w:shd w:val="clear" w:color="auto" w:fill="auto"/>
            <w:noWrap w:val="0"/>
            <w:tcMar>
              <w:top w:w="0" w:type="dxa"/>
              <w:left w:w="108" w:type="dxa"/>
              <w:bottom w:w="0" w:type="dxa"/>
              <w:right w:w="108" w:type="dxa"/>
            </w:tcMar>
            <w:vAlign w:val="center"/>
          </w:tcPr>
          <w:p>
            <w:pPr>
              <w:jc w:val="left"/>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sz w:val="24"/>
                <w:szCs w:val="24"/>
                <w:lang w:eastAsia="zh-CN"/>
              </w:rPr>
              <w:t>第一章在第一条港口位置后补充“自然条件”一节，介绍江门港地理位置、气候、水文等自然条件。</w:t>
            </w:r>
          </w:p>
        </w:tc>
        <w:tc>
          <w:tcPr>
            <w:tcW w:w="5812" w:type="dxa"/>
            <w:shd w:val="clear" w:color="auto" w:fill="auto"/>
            <w:noWrap w:val="0"/>
            <w:tcMar>
              <w:top w:w="0" w:type="dxa"/>
              <w:left w:w="108" w:type="dxa"/>
              <w:bottom w:w="0" w:type="dxa"/>
              <w:right w:w="108" w:type="dxa"/>
            </w:tcMar>
            <w:vAlign w:val="center"/>
          </w:tcPr>
          <w:p>
            <w:pPr>
              <w:jc w:val="left"/>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rPr>
              <w:t>采纳</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补充“自然条件”章节，内容包括</w:t>
            </w:r>
            <w:r>
              <w:rPr>
                <w:rFonts w:hint="eastAsia" w:ascii="仿宋" w:hAnsi="仿宋" w:eastAsia="仿宋" w:cs="仿宋"/>
                <w:b w:val="0"/>
                <w:bCs w:val="0"/>
                <w:color w:val="auto"/>
                <w:sz w:val="24"/>
                <w:szCs w:val="24"/>
                <w:lang w:eastAsia="zh-CN"/>
              </w:rPr>
              <w:t>江门港地理位置、气候、水文等自然条件。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w:t>
            </w:r>
          </w:p>
        </w:tc>
        <w:tc>
          <w:tcPr>
            <w:tcW w:w="1923" w:type="dxa"/>
            <w:shd w:val="clear" w:color="auto" w:fill="auto"/>
            <w:noWrap w:val="0"/>
            <w:vAlign w:val="center"/>
          </w:tcPr>
          <w:p>
            <w:pPr>
              <w:spacing w:line="240" w:lineRule="auto"/>
              <w:jc w:val="center"/>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val="en-US" w:eastAsia="zh-CN"/>
              </w:rPr>
              <w:t>0750-36****0</w:t>
            </w:r>
          </w:p>
        </w:tc>
        <w:tc>
          <w:tcPr>
            <w:tcW w:w="1187" w:type="dxa"/>
            <w:shd w:val="clear" w:color="auto" w:fill="auto"/>
            <w:noWrap w:val="0"/>
            <w:vAlign w:val="center"/>
          </w:tcPr>
          <w:p>
            <w:pPr>
              <w:jc w:val="center"/>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val="en-US" w:eastAsia="zh-CN"/>
              </w:rPr>
              <w:t>邮箱</w:t>
            </w:r>
          </w:p>
        </w:tc>
        <w:tc>
          <w:tcPr>
            <w:tcW w:w="6063" w:type="dxa"/>
            <w:shd w:val="clear" w:color="auto" w:fill="auto"/>
            <w:noWrap w:val="0"/>
            <w:vAlign w:val="center"/>
          </w:tcPr>
          <w:p>
            <w:pPr>
              <w:jc w:val="left"/>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sz w:val="24"/>
                <w:szCs w:val="24"/>
                <w:lang w:eastAsia="zh-CN"/>
              </w:rPr>
              <w:t>第五章补充港口经营人基本义务有关章节。</w:t>
            </w:r>
          </w:p>
        </w:tc>
        <w:tc>
          <w:tcPr>
            <w:tcW w:w="5812" w:type="dxa"/>
            <w:shd w:val="clear" w:color="auto" w:fill="auto"/>
            <w:noWrap w:val="0"/>
            <w:vAlign w:val="center"/>
          </w:tcPr>
          <w:p>
            <w:pPr>
              <w:jc w:val="left"/>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采纳</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补充“港口经营人基本义务”条款，内容包括</w:t>
            </w:r>
            <w:r>
              <w:rPr>
                <w:rFonts w:hint="default" w:ascii="仿宋" w:hAnsi="仿宋" w:eastAsia="仿宋" w:cs="仿宋"/>
                <w:color w:val="auto"/>
                <w:sz w:val="24"/>
                <w:szCs w:val="24"/>
                <w:highlight w:val="none"/>
                <w:lang w:val="en-US" w:eastAsia="zh-CN"/>
              </w:rPr>
              <w:t>安全生产的义务</w:t>
            </w:r>
            <w:r>
              <w:rPr>
                <w:rFonts w:hint="eastAsia" w:ascii="仿宋" w:hAnsi="仿宋" w:eastAsia="仿宋" w:cs="仿宋"/>
                <w:color w:val="auto"/>
                <w:sz w:val="24"/>
                <w:szCs w:val="24"/>
                <w:highlight w:val="none"/>
                <w:lang w:val="en-US" w:eastAsia="zh-CN"/>
              </w:rPr>
              <w:t>、</w:t>
            </w:r>
            <w:r>
              <w:rPr>
                <w:rFonts w:hint="default" w:ascii="仿宋" w:hAnsi="仿宋" w:eastAsia="仿宋" w:cs="仿宋"/>
                <w:color w:val="auto"/>
                <w:sz w:val="24"/>
                <w:szCs w:val="24"/>
                <w:highlight w:val="none"/>
                <w:lang w:val="en-US" w:eastAsia="zh-CN"/>
              </w:rPr>
              <w:t>保护环境的义务</w:t>
            </w:r>
            <w:r>
              <w:rPr>
                <w:rFonts w:hint="eastAsia" w:ascii="仿宋" w:hAnsi="仿宋" w:eastAsia="仿宋" w:cs="仿宋"/>
                <w:color w:val="auto"/>
                <w:sz w:val="24"/>
                <w:szCs w:val="24"/>
                <w:highlight w:val="none"/>
                <w:lang w:val="en-US" w:eastAsia="zh-CN"/>
              </w:rPr>
              <w:t>、</w:t>
            </w:r>
            <w:r>
              <w:rPr>
                <w:rFonts w:hint="default" w:ascii="仿宋" w:hAnsi="仿宋" w:eastAsia="仿宋" w:cs="仿宋"/>
                <w:color w:val="auto"/>
                <w:sz w:val="24"/>
                <w:szCs w:val="24"/>
                <w:highlight w:val="none"/>
                <w:lang w:val="en-US" w:eastAsia="zh-CN"/>
              </w:rPr>
              <w:t>合法经营与服务的义务</w:t>
            </w:r>
            <w:r>
              <w:rPr>
                <w:rFonts w:hint="eastAsia" w:ascii="仿宋" w:hAnsi="仿宋" w:eastAsia="仿宋" w:cs="仿宋"/>
                <w:color w:val="auto"/>
                <w:sz w:val="24"/>
                <w:szCs w:val="24"/>
                <w:highlight w:val="none"/>
                <w:lang w:val="en-US" w:eastAsia="zh-CN"/>
              </w:rPr>
              <w:t>、</w:t>
            </w:r>
            <w:r>
              <w:rPr>
                <w:rFonts w:hint="default" w:ascii="仿宋" w:hAnsi="仿宋" w:eastAsia="仿宋" w:cs="仿宋"/>
                <w:color w:val="auto"/>
                <w:sz w:val="24"/>
                <w:szCs w:val="24"/>
                <w:highlight w:val="none"/>
                <w:lang w:val="en-US" w:eastAsia="zh-CN"/>
              </w:rPr>
              <w:t>应急与保障的义务</w:t>
            </w:r>
            <w:r>
              <w:rPr>
                <w:rFonts w:hint="eastAsia" w:ascii="仿宋" w:hAnsi="仿宋" w:eastAsia="仿宋" w:cs="仿宋"/>
                <w:color w:val="auto"/>
                <w:sz w:val="24"/>
                <w:szCs w:val="24"/>
                <w:highlight w:val="none"/>
                <w:lang w:val="en-US" w:eastAsia="zh-CN"/>
              </w:rPr>
              <w:t>、</w:t>
            </w:r>
            <w:r>
              <w:rPr>
                <w:rFonts w:hint="default" w:ascii="仿宋" w:hAnsi="仿宋" w:eastAsia="仿宋" w:cs="仿宋"/>
                <w:color w:val="auto"/>
                <w:sz w:val="24"/>
                <w:szCs w:val="24"/>
                <w:highlight w:val="none"/>
                <w:lang w:val="en-US" w:eastAsia="zh-CN"/>
              </w:rPr>
              <w:t>信息报送与配合管理的义务</w:t>
            </w:r>
            <w:r>
              <w:rPr>
                <w:rFonts w:hint="eastAsia" w:ascii="仿宋" w:hAnsi="仿宋" w:eastAsia="仿宋" w:cs="仿宋"/>
                <w:color w:val="auto"/>
                <w:sz w:val="24"/>
                <w:szCs w:val="24"/>
                <w:highlight w:val="none"/>
                <w:lang w:val="en-US" w:eastAsia="zh-CN"/>
              </w:rPr>
              <w:t>、</w:t>
            </w:r>
            <w:r>
              <w:rPr>
                <w:rFonts w:hint="default" w:ascii="仿宋" w:hAnsi="仿宋" w:eastAsia="仿宋" w:cs="仿宋"/>
                <w:color w:val="auto"/>
                <w:sz w:val="24"/>
                <w:szCs w:val="24"/>
                <w:highlight w:val="none"/>
                <w:lang w:val="en-US" w:eastAsia="zh-CN"/>
              </w:rPr>
              <w:t>其他法定义务</w:t>
            </w:r>
            <w:r>
              <w:rPr>
                <w:rFonts w:hint="eastAsia" w:ascii="仿宋" w:hAnsi="仿宋" w:eastAsia="仿宋" w:cs="仿宋"/>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w:t>
            </w:r>
          </w:p>
        </w:tc>
        <w:tc>
          <w:tcPr>
            <w:tcW w:w="1923" w:type="dxa"/>
            <w:shd w:val="clear" w:color="auto" w:fill="auto"/>
            <w:noWrap w:val="0"/>
            <w:vAlign w:val="center"/>
          </w:tcPr>
          <w:p>
            <w:pPr>
              <w:spacing w:line="240" w:lineRule="auto"/>
              <w:jc w:val="center"/>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val="en-US" w:eastAsia="zh-CN"/>
              </w:rPr>
              <w:t>0750-36****0</w:t>
            </w:r>
          </w:p>
        </w:tc>
        <w:tc>
          <w:tcPr>
            <w:tcW w:w="1187" w:type="dxa"/>
            <w:shd w:val="clear" w:color="auto" w:fill="auto"/>
            <w:noWrap w:val="0"/>
            <w:vAlign w:val="center"/>
          </w:tcPr>
          <w:p>
            <w:pPr>
              <w:jc w:val="center"/>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val="en-US" w:eastAsia="zh-CN"/>
              </w:rPr>
              <w:t>邮箱</w:t>
            </w:r>
          </w:p>
        </w:tc>
        <w:tc>
          <w:tcPr>
            <w:tcW w:w="6063" w:type="dxa"/>
            <w:shd w:val="clear" w:color="auto" w:fill="auto"/>
            <w:noWrap w:val="0"/>
            <w:vAlign w:val="center"/>
          </w:tcPr>
          <w:p>
            <w:pPr>
              <w:jc w:val="left"/>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sz w:val="24"/>
                <w:szCs w:val="24"/>
                <w:lang w:eastAsia="zh-CN"/>
              </w:rPr>
              <w:t>第五章第十六条“（一）从事港口经营，应当申请取得港口经营许可。”修改为“（一）在江门港从事港口经营，应当申请取得港口经营许可。”</w:t>
            </w:r>
          </w:p>
        </w:tc>
        <w:tc>
          <w:tcPr>
            <w:tcW w:w="5812" w:type="dxa"/>
            <w:shd w:val="clear" w:color="auto" w:fill="auto"/>
            <w:noWrap w:val="0"/>
            <w:vAlign w:val="center"/>
          </w:tcPr>
          <w:p>
            <w:pPr>
              <w:jc w:val="left"/>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部分采纳。原条款修改为“（一）在江门港从事港口经营，应当向县（市、区）港口经营许可部门申请取得港口经营许可”。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shd w:val="clear" w:color="auto" w:fill="auto"/>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w:t>
            </w:r>
          </w:p>
        </w:tc>
        <w:tc>
          <w:tcPr>
            <w:tcW w:w="1923" w:type="dxa"/>
            <w:shd w:val="clear" w:color="auto" w:fill="auto"/>
            <w:noWrap w:val="0"/>
            <w:vAlign w:val="center"/>
          </w:tcPr>
          <w:p>
            <w:pPr>
              <w:spacing w:line="240" w:lineRule="auto"/>
              <w:jc w:val="center"/>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val="en-US" w:eastAsia="zh-CN"/>
              </w:rPr>
              <w:t>0750-36****0</w:t>
            </w:r>
          </w:p>
        </w:tc>
        <w:tc>
          <w:tcPr>
            <w:tcW w:w="1187" w:type="dxa"/>
            <w:shd w:val="clear" w:color="auto" w:fill="auto"/>
            <w:noWrap w:val="0"/>
            <w:vAlign w:val="center"/>
          </w:tcPr>
          <w:p>
            <w:pPr>
              <w:jc w:val="center"/>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val="en-US" w:eastAsia="zh-CN"/>
              </w:rPr>
              <w:t>邮箱</w:t>
            </w:r>
          </w:p>
        </w:tc>
        <w:tc>
          <w:tcPr>
            <w:tcW w:w="6063" w:type="dxa"/>
            <w:shd w:val="clear" w:color="auto" w:fill="auto"/>
            <w:noWrap w:val="0"/>
            <w:vAlign w:val="center"/>
          </w:tcPr>
          <w:p>
            <w:pPr>
              <w:jc w:val="left"/>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sz w:val="24"/>
                <w:szCs w:val="24"/>
                <w:lang w:eastAsia="zh-CN"/>
              </w:rPr>
              <w:t>第六章第二十七条岸电设施建设与使用和第二十八条船舶污染物排放与接收，内容较过细，并且未突出本港区执行相关规范的有关要求。</w:t>
            </w:r>
          </w:p>
        </w:tc>
        <w:tc>
          <w:tcPr>
            <w:tcW w:w="5812" w:type="dxa"/>
            <w:shd w:val="clear" w:color="auto" w:fill="auto"/>
            <w:noWrap w:val="0"/>
            <w:vAlign w:val="center"/>
          </w:tcPr>
          <w:p>
            <w:pPr>
              <w:jc w:val="left"/>
              <w:rPr>
                <w:rFonts w:hint="eastAsia" w:ascii="仿宋" w:hAnsi="仿宋" w:eastAsia="仿宋" w:cs="仿宋"/>
                <w:color w:val="auto"/>
                <w:sz w:val="24"/>
                <w:szCs w:val="24"/>
                <w:lang w:val="en-US" w:eastAsia="zh-CN"/>
              </w:rPr>
            </w:pPr>
            <w:r>
              <w:rPr>
                <w:rFonts w:hint="eastAsia" w:ascii="仿宋" w:hAnsi="仿宋" w:eastAsia="仿宋" w:cs="仿宋"/>
                <w:b w:val="0"/>
                <w:bCs w:val="0"/>
                <w:color w:val="auto"/>
                <w:sz w:val="24"/>
                <w:szCs w:val="24"/>
                <w:lang w:val="en-US" w:eastAsia="zh-CN"/>
              </w:rPr>
              <w:t>部分采纳。将在精简章程文本内容的同时，保留法律法规明确的核心要求，突出江门港差异化执行条款，确保章程简洁实用且贴合港口运营实际。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w:t>
            </w:r>
          </w:p>
        </w:tc>
        <w:tc>
          <w:tcPr>
            <w:tcW w:w="1923" w:type="dxa"/>
            <w:noWrap w:val="0"/>
            <w:vAlign w:val="center"/>
          </w:tcPr>
          <w:p>
            <w:pPr>
              <w:spacing w:line="240" w:lineRule="auto"/>
              <w:jc w:val="center"/>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val="en-US" w:eastAsia="zh-CN"/>
              </w:rPr>
              <w:t>0750-36****0</w:t>
            </w:r>
          </w:p>
        </w:tc>
        <w:tc>
          <w:tcPr>
            <w:tcW w:w="1187" w:type="dxa"/>
            <w:noWrap w:val="0"/>
            <w:vAlign w:val="center"/>
          </w:tcPr>
          <w:p>
            <w:pPr>
              <w:jc w:val="center"/>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val="en-US" w:eastAsia="zh-CN"/>
              </w:rPr>
              <w:t>邮箱</w:t>
            </w:r>
          </w:p>
        </w:tc>
        <w:tc>
          <w:tcPr>
            <w:tcW w:w="6063" w:type="dxa"/>
            <w:noWrap w:val="0"/>
            <w:vAlign w:val="center"/>
          </w:tcPr>
          <w:p>
            <w:pPr>
              <w:jc w:val="left"/>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第八章章节名称本章名称“港口安全与保护”修改为“港口安全与环境保护”。本章内容重在环境保护，与第九章环保重在低碳、绿色化新能源的推广有区别。</w:t>
            </w:r>
          </w:p>
        </w:tc>
        <w:tc>
          <w:tcPr>
            <w:tcW w:w="5812" w:type="dxa"/>
            <w:shd w:val="clear" w:color="auto" w:fill="auto"/>
            <w:noWrap w:val="0"/>
            <w:vAlign w:val="center"/>
          </w:tcPr>
          <w:p>
            <w:pPr>
              <w:jc w:val="left"/>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采纳。按建议修改。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w:t>
            </w:r>
          </w:p>
        </w:tc>
        <w:tc>
          <w:tcPr>
            <w:tcW w:w="1923" w:type="dxa"/>
            <w:noWrap w:val="0"/>
            <w:vAlign w:val="center"/>
          </w:tcPr>
          <w:p>
            <w:pPr>
              <w:spacing w:line="240" w:lineRule="auto"/>
              <w:jc w:val="center"/>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val="en-US" w:eastAsia="zh-CN"/>
              </w:rPr>
              <w:t>0750-36****0</w:t>
            </w:r>
          </w:p>
        </w:tc>
        <w:tc>
          <w:tcPr>
            <w:tcW w:w="1187" w:type="dxa"/>
            <w:noWrap w:val="0"/>
            <w:vAlign w:val="center"/>
          </w:tcPr>
          <w:p>
            <w:pPr>
              <w:jc w:val="center"/>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val="en-US" w:eastAsia="zh-CN"/>
              </w:rPr>
              <w:t>邮箱</w:t>
            </w:r>
          </w:p>
        </w:tc>
        <w:tc>
          <w:tcPr>
            <w:tcW w:w="6063" w:type="dxa"/>
            <w:noWrap w:val="0"/>
            <w:vAlign w:val="center"/>
          </w:tcPr>
          <w:p>
            <w:pPr>
              <w:jc w:val="left"/>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第八章第三十六条“根据国际海事组织的《1974年国际海上人命安全公约》（SOLA 公约）海上保安修正案和《国际船舶和港口设施保安规则》（ISPS 规则）以及交通运输部颁布的《港口设施保安规则》的规定，涉外轮进港装卸的港口企业应取得交通运输部核发的《港口设施保安符合证书》。”修改为“根据《中华人民共和国港口设施保安规则》的规定，涉外轮进港装卸的港口企业应取得广东省交通运输厅核发的《港口设施保安符合证书》。”</w:t>
            </w:r>
          </w:p>
        </w:tc>
        <w:tc>
          <w:tcPr>
            <w:tcW w:w="5812" w:type="dxa"/>
            <w:shd w:val="clear" w:color="auto" w:fill="auto"/>
            <w:noWrap w:val="0"/>
            <w:vAlign w:val="center"/>
          </w:tcPr>
          <w:p>
            <w:pPr>
              <w:jc w:val="left"/>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采纳。按建议修改。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w:t>
            </w:r>
          </w:p>
        </w:tc>
        <w:tc>
          <w:tcPr>
            <w:tcW w:w="1923" w:type="dxa"/>
            <w:noWrap w:val="0"/>
            <w:vAlign w:val="center"/>
          </w:tcPr>
          <w:p>
            <w:pPr>
              <w:spacing w:line="240" w:lineRule="auto"/>
              <w:jc w:val="center"/>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val="en-US" w:eastAsia="zh-CN"/>
              </w:rPr>
              <w:t>0750-36****0</w:t>
            </w:r>
          </w:p>
        </w:tc>
        <w:tc>
          <w:tcPr>
            <w:tcW w:w="1187" w:type="dxa"/>
            <w:noWrap w:val="0"/>
            <w:vAlign w:val="center"/>
          </w:tcPr>
          <w:p>
            <w:pPr>
              <w:jc w:val="center"/>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val="en-US" w:eastAsia="zh-CN"/>
              </w:rPr>
              <w:t>邮箱</w:t>
            </w:r>
          </w:p>
        </w:tc>
        <w:tc>
          <w:tcPr>
            <w:tcW w:w="6063" w:type="dxa"/>
            <w:noWrap w:val="0"/>
            <w:vAlign w:val="center"/>
          </w:tcPr>
          <w:p>
            <w:pPr>
              <w:jc w:val="left"/>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第八章第三十六条“进入江门港的国际航线的船舶，必须按照和接受港口（码头）制定的《港口设施保安计划》管理。”此句表述请再商榷。</w:t>
            </w:r>
          </w:p>
        </w:tc>
        <w:tc>
          <w:tcPr>
            <w:tcW w:w="5812" w:type="dxa"/>
            <w:shd w:val="clear" w:color="auto" w:fill="auto"/>
            <w:noWrap w:val="0"/>
            <w:vAlign w:val="center"/>
          </w:tcPr>
          <w:p>
            <w:pPr>
              <w:jc w:val="left"/>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采纳。修改为：</w:t>
            </w:r>
            <w:r>
              <w:rPr>
                <w:rFonts w:hint="eastAsia" w:ascii="仿宋" w:hAnsi="仿宋" w:eastAsia="仿宋" w:cs="仿宋"/>
                <w:color w:val="auto"/>
                <w:sz w:val="24"/>
                <w:szCs w:val="24"/>
              </w:rPr>
              <w:t>进入江门港的国际航线的船舶，必须</w:t>
            </w:r>
            <w:r>
              <w:rPr>
                <w:rFonts w:hint="eastAsia" w:ascii="仿宋" w:hAnsi="仿宋" w:eastAsia="仿宋" w:cs="仿宋"/>
                <w:color w:val="auto"/>
                <w:kern w:val="0"/>
                <w:sz w:val="24"/>
                <w:szCs w:val="24"/>
                <w:lang w:val="en-US" w:eastAsia="zh-CN" w:bidi="ar"/>
              </w:rPr>
              <w:t>遵守并执行港口（码头）制定的《港口设施保安计划》。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w:t>
            </w:r>
          </w:p>
        </w:tc>
        <w:tc>
          <w:tcPr>
            <w:tcW w:w="1923" w:type="dxa"/>
            <w:noWrap w:val="0"/>
            <w:vAlign w:val="center"/>
          </w:tcPr>
          <w:p>
            <w:pPr>
              <w:spacing w:line="240" w:lineRule="auto"/>
              <w:jc w:val="center"/>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val="en-US" w:eastAsia="zh-CN"/>
              </w:rPr>
              <w:t>0750-36****0</w:t>
            </w:r>
          </w:p>
        </w:tc>
        <w:tc>
          <w:tcPr>
            <w:tcW w:w="1187" w:type="dxa"/>
            <w:noWrap w:val="0"/>
            <w:vAlign w:val="center"/>
          </w:tcPr>
          <w:p>
            <w:pPr>
              <w:jc w:val="center"/>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val="en-US" w:eastAsia="zh-CN"/>
              </w:rPr>
              <w:t>邮箱</w:t>
            </w:r>
          </w:p>
        </w:tc>
        <w:tc>
          <w:tcPr>
            <w:tcW w:w="6063" w:type="dxa"/>
            <w:noWrap w:val="0"/>
            <w:vAlign w:val="center"/>
          </w:tcPr>
          <w:p>
            <w:pPr>
              <w:jc w:val="left"/>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第八章第三十六条补充《港口设施保安符合证书》核验要求的内容。</w:t>
            </w:r>
          </w:p>
        </w:tc>
        <w:tc>
          <w:tcPr>
            <w:tcW w:w="5812" w:type="dxa"/>
            <w:noWrap w:val="0"/>
            <w:vAlign w:val="center"/>
          </w:tcPr>
          <w:p>
            <w:pPr>
              <w:jc w:val="left"/>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rPr>
              <w:t>采纳</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补充《港口设施保安符合证书》的核验主体、核验频次及核验标准等内容。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shd w:val="clear" w:color="auto" w:fill="auto"/>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9</w:t>
            </w:r>
          </w:p>
        </w:tc>
        <w:tc>
          <w:tcPr>
            <w:tcW w:w="1923" w:type="dxa"/>
            <w:shd w:val="clear" w:color="auto" w:fill="auto"/>
            <w:noWrap w:val="0"/>
            <w:vAlign w:val="center"/>
          </w:tcPr>
          <w:p>
            <w:pPr>
              <w:spacing w:line="240" w:lineRule="auto"/>
              <w:jc w:val="center"/>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val="en-US" w:eastAsia="zh-CN"/>
              </w:rPr>
              <w:t>0750-36****0</w:t>
            </w:r>
          </w:p>
        </w:tc>
        <w:tc>
          <w:tcPr>
            <w:tcW w:w="1187" w:type="dxa"/>
            <w:shd w:val="clear" w:color="auto" w:fill="auto"/>
            <w:noWrap w:val="0"/>
            <w:vAlign w:val="center"/>
          </w:tcPr>
          <w:p>
            <w:pPr>
              <w:jc w:val="center"/>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val="en-US" w:eastAsia="zh-CN"/>
              </w:rPr>
              <w:t>邮箱</w:t>
            </w:r>
          </w:p>
        </w:tc>
        <w:tc>
          <w:tcPr>
            <w:tcW w:w="6063" w:type="dxa"/>
            <w:shd w:val="clear" w:color="auto" w:fill="auto"/>
            <w:noWrap w:val="0"/>
            <w:vAlign w:val="center"/>
          </w:tcPr>
          <w:p>
            <w:pPr>
              <w:jc w:val="left"/>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第八章第三十七条本节应作为“港口应急处置”独立为一个章节，补充江门港港口应急管理、应急救援等相关内容。</w:t>
            </w:r>
          </w:p>
        </w:tc>
        <w:tc>
          <w:tcPr>
            <w:tcW w:w="5812" w:type="dxa"/>
            <w:shd w:val="clear" w:color="auto" w:fill="auto"/>
            <w:noWrap w:val="0"/>
            <w:vAlign w:val="center"/>
          </w:tcPr>
          <w:p>
            <w:pPr>
              <w:jc w:val="left"/>
              <w:rPr>
                <w:rFonts w:hint="default" w:ascii="仿宋" w:hAnsi="仿宋" w:eastAsia="仿宋" w:cs="仿宋"/>
                <w:color w:val="auto"/>
                <w:sz w:val="24"/>
                <w:szCs w:val="24"/>
                <w:lang w:val="en-US" w:eastAsia="zh-CN"/>
              </w:rPr>
            </w:pPr>
            <w:r>
              <w:rPr>
                <w:rFonts w:hint="default" w:ascii="仿宋" w:hAnsi="仿宋" w:eastAsia="仿宋" w:cs="仿宋"/>
                <w:color w:val="auto"/>
                <w:sz w:val="24"/>
                <w:szCs w:val="24"/>
                <w:lang w:val="en-US" w:eastAsia="zh-CN"/>
              </w:rPr>
              <w:t>不采纳。应急处置属于港口安全管理范畴，纳入现有 “港口安全与环境保护” 章节更具系统性与连贯性，且我局已制定《江门市港口危险货物事故应急预案》《江门市港口预防自然灾害应急预案》《江门市港口突发事件旅客紧急疏散和救援应急预案》，相关应急救援内容已更为全面详实。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10</w:t>
            </w:r>
          </w:p>
        </w:tc>
        <w:tc>
          <w:tcPr>
            <w:tcW w:w="1923" w:type="dxa"/>
            <w:noWrap w:val="0"/>
            <w:vAlign w:val="center"/>
          </w:tcPr>
          <w:p>
            <w:pPr>
              <w:spacing w:line="240" w:lineRule="auto"/>
              <w:jc w:val="center"/>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val="en-US" w:eastAsia="zh-CN"/>
              </w:rPr>
              <w:t>0750-36****0</w:t>
            </w:r>
          </w:p>
        </w:tc>
        <w:tc>
          <w:tcPr>
            <w:tcW w:w="1187" w:type="dxa"/>
            <w:noWrap w:val="0"/>
            <w:vAlign w:val="center"/>
          </w:tcPr>
          <w:p>
            <w:pPr>
              <w:jc w:val="center"/>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val="en-US" w:eastAsia="zh-CN"/>
              </w:rPr>
              <w:t>邮箱</w:t>
            </w:r>
          </w:p>
        </w:tc>
        <w:tc>
          <w:tcPr>
            <w:tcW w:w="6063" w:type="dxa"/>
            <w:noWrap w:val="0"/>
            <w:vAlign w:val="center"/>
          </w:tcPr>
          <w:p>
            <w:pPr>
              <w:jc w:val="left"/>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第八章第三十八条“当港池内泥沙淤积致使水深无法满足船舶安全航行与作业需求时，港口经营人应及时组织实施港池疏浚作业。作业前，作业单位需向江门海事局等相关部门提交包含作业时间、区域、设备、环保措施等内容的疏浚作业计划，经批准后方可开展作业。作业过程中，疏浚施工应按设计与方案执行，控制超深超宽，防止回淤，采取合理控制疏浚强度、设置有效的防污帘等措施，防止疏浚产生的泥沙扩散造成水质污染。施工船舶应符合安全要求，遇恶劣条件应停止作业并做好防护。”修改为“当港池内泥沙淤积致使水深无法满足船舶安全航行与作业需求时，港口经营人应及时组织实施港池疏浚作业。港池疏浚的淤泥外抛时必须抛弃到规定的抛泥区（如有明确抛泥区，应注明位置的经纬度，范围、面积等数字）。”</w:t>
            </w:r>
          </w:p>
        </w:tc>
        <w:tc>
          <w:tcPr>
            <w:tcW w:w="5812" w:type="dxa"/>
            <w:noWrap w:val="0"/>
            <w:vAlign w:val="center"/>
          </w:tcPr>
          <w:p>
            <w:pPr>
              <w:jc w:val="left"/>
              <w:rPr>
                <w:rFonts w:hint="eastAsia" w:ascii="仿宋" w:hAnsi="仿宋" w:eastAsia="仿宋" w:cs="仿宋"/>
                <w:color w:val="auto"/>
                <w:sz w:val="24"/>
                <w:szCs w:val="24"/>
                <w:lang w:eastAsia="zh-CN"/>
              </w:rPr>
            </w:pPr>
            <w:r>
              <w:rPr>
                <w:rFonts w:hint="eastAsia" w:ascii="仿宋" w:hAnsi="仿宋" w:eastAsia="仿宋" w:cs="仿宋"/>
                <w:color w:val="auto"/>
                <w:sz w:val="24"/>
                <w:szCs w:val="24"/>
              </w:rPr>
              <w:t>采纳</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按建议修改。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shd w:val="clear" w:color="auto" w:fill="auto"/>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11</w:t>
            </w:r>
          </w:p>
        </w:tc>
        <w:tc>
          <w:tcPr>
            <w:tcW w:w="1923" w:type="dxa"/>
            <w:shd w:val="clear" w:color="auto" w:fill="auto"/>
            <w:noWrap w:val="0"/>
            <w:vAlign w:val="center"/>
          </w:tcPr>
          <w:p>
            <w:pPr>
              <w:spacing w:line="240" w:lineRule="auto"/>
              <w:jc w:val="center"/>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0750-36****0</w:t>
            </w:r>
          </w:p>
        </w:tc>
        <w:tc>
          <w:tcPr>
            <w:tcW w:w="1187" w:type="dxa"/>
            <w:shd w:val="clear" w:color="auto" w:fill="auto"/>
            <w:noWrap w:val="0"/>
            <w:vAlign w:val="center"/>
          </w:tcPr>
          <w:p>
            <w:pPr>
              <w:jc w:val="center"/>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邮箱</w:t>
            </w:r>
          </w:p>
        </w:tc>
        <w:tc>
          <w:tcPr>
            <w:tcW w:w="6063" w:type="dxa"/>
            <w:shd w:val="clear" w:color="auto" w:fill="auto"/>
            <w:noWrap w:val="0"/>
            <w:vAlign w:val="center"/>
          </w:tcPr>
          <w:p>
            <w:pPr>
              <w:jc w:val="left"/>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val="en-US" w:eastAsia="zh-CN"/>
              </w:rPr>
              <w:t>附件</w:t>
            </w:r>
            <w:r>
              <w:rPr>
                <w:rFonts w:hint="eastAsia" w:ascii="仿宋" w:hAnsi="仿宋" w:eastAsia="仿宋" w:cs="仿宋"/>
                <w:b w:val="0"/>
                <w:bCs w:val="0"/>
                <w:color w:val="auto"/>
                <w:sz w:val="24"/>
                <w:szCs w:val="24"/>
                <w:lang w:eastAsia="zh-CN"/>
              </w:rPr>
              <w:t>补充港区分布图、规划图等</w:t>
            </w:r>
          </w:p>
        </w:tc>
        <w:tc>
          <w:tcPr>
            <w:tcW w:w="5812" w:type="dxa"/>
            <w:shd w:val="clear" w:color="auto" w:fill="auto"/>
            <w:noWrap w:val="0"/>
            <w:vAlign w:val="center"/>
          </w:tcPr>
          <w:p>
            <w:pPr>
              <w:keepNext w:val="0"/>
              <w:keepLines w:val="0"/>
              <w:widowControl/>
              <w:suppressLineNumbers w:val="0"/>
              <w:jc w:val="left"/>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不</w:t>
            </w:r>
            <w:r>
              <w:rPr>
                <w:rFonts w:hint="eastAsia" w:ascii="仿宋" w:hAnsi="仿宋" w:eastAsia="仿宋" w:cs="仿宋"/>
                <w:color w:val="auto"/>
                <w:sz w:val="24"/>
                <w:szCs w:val="24"/>
              </w:rPr>
              <w:t>采纳</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因港区分布图、规划图等资料涉及港口运营及规划涉密信息，暂不宜对外公开，故无法补充相关内容，敬请理解。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12</w:t>
            </w:r>
          </w:p>
        </w:tc>
        <w:tc>
          <w:tcPr>
            <w:tcW w:w="1923" w:type="dxa"/>
            <w:noWrap w:val="0"/>
            <w:vAlign w:val="center"/>
          </w:tcPr>
          <w:p>
            <w:pPr>
              <w:spacing w:line="240" w:lineRule="auto"/>
              <w:jc w:val="center"/>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0750-36****</w:t>
            </w:r>
            <w:bookmarkStart w:id="0" w:name="_GoBack"/>
            <w:bookmarkEnd w:id="0"/>
            <w:r>
              <w:rPr>
                <w:rFonts w:hint="eastAsia" w:ascii="仿宋" w:hAnsi="仿宋" w:eastAsia="仿宋" w:cs="仿宋"/>
                <w:b w:val="0"/>
                <w:bCs w:val="0"/>
                <w:color w:val="auto"/>
                <w:sz w:val="24"/>
                <w:szCs w:val="24"/>
                <w:lang w:val="en-US" w:eastAsia="zh-CN"/>
              </w:rPr>
              <w:t>0</w:t>
            </w:r>
          </w:p>
        </w:tc>
        <w:tc>
          <w:tcPr>
            <w:tcW w:w="1187" w:type="dxa"/>
            <w:noWrap w:val="0"/>
            <w:vAlign w:val="center"/>
          </w:tcPr>
          <w:p>
            <w:pPr>
              <w:jc w:val="center"/>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邮箱</w:t>
            </w:r>
          </w:p>
        </w:tc>
        <w:tc>
          <w:tcPr>
            <w:tcW w:w="6063" w:type="dxa"/>
            <w:noWrap w:val="0"/>
            <w:vAlign w:val="center"/>
          </w:tcPr>
          <w:p>
            <w:pPr>
              <w:jc w:val="left"/>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全文格式每章新起一页</w:t>
            </w:r>
          </w:p>
        </w:tc>
        <w:tc>
          <w:tcPr>
            <w:tcW w:w="5812" w:type="dxa"/>
            <w:noWrap w:val="0"/>
            <w:vAlign w:val="center"/>
          </w:tcPr>
          <w:p>
            <w:pPr>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采纳。按建议修改。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811" w:type="dxa"/>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13</w:t>
            </w:r>
          </w:p>
        </w:tc>
        <w:tc>
          <w:tcPr>
            <w:tcW w:w="1923" w:type="dxa"/>
            <w:noWrap w:val="0"/>
            <w:vAlign w:val="center"/>
          </w:tcPr>
          <w:p>
            <w:pPr>
              <w:spacing w:line="240" w:lineRule="auto"/>
              <w:jc w:val="center"/>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185****7181</w:t>
            </w:r>
          </w:p>
        </w:tc>
        <w:tc>
          <w:tcPr>
            <w:tcW w:w="1187" w:type="dxa"/>
            <w:noWrap w:val="0"/>
            <w:vAlign w:val="center"/>
          </w:tcPr>
          <w:p>
            <w:pPr>
              <w:jc w:val="center"/>
              <w:rPr>
                <w:rFonts w:hint="default"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网站留言</w:t>
            </w:r>
          </w:p>
        </w:tc>
        <w:tc>
          <w:tcPr>
            <w:tcW w:w="6063" w:type="dxa"/>
            <w:noWrap w:val="0"/>
            <w:vAlign w:val="center"/>
          </w:tcPr>
          <w:p>
            <w:pPr>
              <w:jc w:val="left"/>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站在港口经营人的角度，章程修编能明确权责边界与作业规范，降低风险，为企业拓展多式联运等新兴业务提供清晰的制度指引。</w:t>
            </w:r>
          </w:p>
        </w:tc>
        <w:tc>
          <w:tcPr>
            <w:tcW w:w="5812" w:type="dxa"/>
            <w:noWrap w:val="0"/>
            <w:vAlign w:val="center"/>
          </w:tcPr>
          <w:p>
            <w:pPr>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采纳。该建议贴合江门港运营实际与发展需求，契合章程修编的核心目标。后续将在章程相关章节中，进一步细化港口经营人权责条款，明确多式联运等新兴业务的作业规范与管理要求，为企业降低运营风险、拓展业务空间提供清晰的制度指引。</w:t>
            </w:r>
          </w:p>
        </w:tc>
      </w:tr>
    </w:tbl>
    <w:p/>
    <w:sectPr>
      <w:pgSz w:w="16838" w:h="11906" w:orient="landscape"/>
      <w:pgMar w:top="720" w:right="567" w:bottom="720" w:left="56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Droid Sans">
    <w:altName w:val="华文中宋"/>
    <w:panose1 w:val="00000000000000000000"/>
    <w:charset w:val="00"/>
    <w:family w:val="auto"/>
    <w:pitch w:val="default"/>
    <w:sig w:usb0="00000000" w:usb1="00000000" w:usb2="00000000"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7F6DC6"/>
    <w:rsid w:val="29FF14B3"/>
    <w:rsid w:val="2FFF43FF"/>
    <w:rsid w:val="39F7B702"/>
    <w:rsid w:val="3BF5C750"/>
    <w:rsid w:val="3FF7AAD7"/>
    <w:rsid w:val="5BBFD846"/>
    <w:rsid w:val="5D7F6DC6"/>
    <w:rsid w:val="659FE702"/>
    <w:rsid w:val="65D07F31"/>
    <w:rsid w:val="6DFAF488"/>
    <w:rsid w:val="70AE2D7B"/>
    <w:rsid w:val="733D6341"/>
    <w:rsid w:val="736B9555"/>
    <w:rsid w:val="7B5DDC92"/>
    <w:rsid w:val="7B9F154C"/>
    <w:rsid w:val="7BEF545C"/>
    <w:rsid w:val="7EF74902"/>
    <w:rsid w:val="7F786847"/>
    <w:rsid w:val="7F9B35E1"/>
    <w:rsid w:val="7F9D131A"/>
    <w:rsid w:val="A4DE86FC"/>
    <w:rsid w:val="BBBECDB3"/>
    <w:rsid w:val="BBBEFF2C"/>
    <w:rsid w:val="DDF73B8C"/>
    <w:rsid w:val="E9F747C9"/>
    <w:rsid w:val="F9F3ED80"/>
    <w:rsid w:val="FAA9EED9"/>
    <w:rsid w:val="FDE3AC4B"/>
    <w:rsid w:val="FDF57C45"/>
    <w:rsid w:val="FEFE7830"/>
    <w:rsid w:val="FF7F0D2F"/>
    <w:rsid w:val="FFE34E7D"/>
    <w:rsid w:val="FFEFE5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semiHidden/>
    <w:qFormat/>
    <w:uiPriority w:val="0"/>
    <w:rPr>
      <w:rFonts w:ascii="仿宋" w:hAnsi="仿宋" w:eastAsia="仿宋" w:cs="仿宋"/>
      <w:sz w:val="31"/>
      <w:szCs w:val="31"/>
      <w:lang w:eastAsia="en-US"/>
    </w:rPr>
  </w:style>
  <w:style w:type="paragraph" w:styleId="3">
    <w:name w:val="Body Text Indent"/>
    <w:basedOn w:val="1"/>
    <w:unhideWhenUsed/>
    <w:qFormat/>
    <w:uiPriority w:val="99"/>
    <w:pPr>
      <w:spacing w:after="120"/>
      <w:ind w:left="420" w:leftChars="200"/>
    </w:pPr>
  </w:style>
  <w:style w:type="paragraph" w:styleId="4">
    <w:name w:val="toc 2"/>
    <w:basedOn w:val="1"/>
    <w:next w:val="1"/>
    <w:qFormat/>
    <w:uiPriority w:val="0"/>
    <w:pPr>
      <w:ind w:left="200" w:leftChars="200"/>
    </w:pPr>
    <w:rPr>
      <w:rFonts w:ascii="Times New Roman" w:hAnsi="Times New Roman" w:eastAsia="宋体" w:cs="Droid Sans"/>
    </w:rPr>
  </w:style>
  <w:style w:type="paragraph" w:styleId="5">
    <w:name w:val="Body Text First Indent 2"/>
    <w:basedOn w:val="3"/>
    <w:unhideWhenUsed/>
    <w:qFormat/>
    <w:uiPriority w:val="99"/>
    <w:pPr>
      <w:ind w:firstLine="420" w:firstLineChars="200"/>
    </w:pPr>
    <w:rPr>
      <w:szCs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14</TotalTime>
  <ScaleCrop>false</ScaleCrop>
  <LinksUpToDate>false</LinksUpToDate>
  <CharactersWithSpaces>0</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2026-01-22T19:31:00Z</dcterms:created>
  <dc:creator>嘉怡</dc:creator>
  <cp:lastModifiedBy>uos</cp:lastModifiedBy>
  <cp:lastPrinted>2026-01-23T08:17:00Z</cp:lastPrinted>
  <dcterms:modified xsi:type="dcterms:W3CDTF">2026-01-26T15:42:09Z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F237BEFDE5FF9CEAD11A776968A6FE1F_43</vt:lpwstr>
  </property>
</Properties>
</file>