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黑体"/>
          <w:color w:val="000000"/>
          <w:kern w:val="0"/>
          <w:szCs w:val="32"/>
          <w:lang w:bidi="ar"/>
        </w:rPr>
      </w:pPr>
      <w:r>
        <w:rPr>
          <w:rFonts w:eastAsia="黑体"/>
          <w:color w:val="000000"/>
          <w:kern w:val="0"/>
          <w:szCs w:val="32"/>
          <w:lang w:bidi="ar"/>
        </w:rPr>
        <w:t>附件1</w:t>
      </w:r>
    </w:p>
    <w:p>
      <w:pPr>
        <w:shd w:val="clear" w:color="auto" w:fill="FFFFFF"/>
        <w:spacing w:line="594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hd w:val="clear" w:color="auto" w:fill="FFFFFF"/>
        <w:spacing w:line="594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本次抽检依据和抽检项目</w:t>
      </w:r>
    </w:p>
    <w:p>
      <w:pPr>
        <w:shd w:val="clear" w:color="auto" w:fill="FFFFFF"/>
        <w:spacing w:line="580" w:lineRule="exact"/>
        <w:rPr>
          <w:rFonts w:eastAsia="方正小标宋简体"/>
          <w:color w:val="000000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</w:t>
      </w:r>
      <w:r>
        <w:rPr>
          <w:rFonts w:hint="eastAsia" w:eastAsia="黑体"/>
          <w:color w:val="000000"/>
        </w:rPr>
        <w:t>塑料材质食品相关产品</w:t>
      </w:r>
    </w:p>
    <w:p>
      <w:pPr>
        <w:spacing w:line="58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（一）抽检依据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抽检依据是《食品安全国家标准 食品接触用塑料树脂》（GB 4806.6-2016）、《食品安全国家标准 食品接触用塑料材料及制品》（GB 4806.7-2016）、《食品安全国家标准 食品接触用塑料材料及制品》（GB 4806.7-2023）、《食品安全国家标准 食品接触材料及制品用添加剂使用标准》（GB 9685-2016）、《食品安全国家标准</w:t>
      </w:r>
      <w:r>
        <w:rPr>
          <w:rFonts w:hint="eastAsia"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消毒餐（饮）具》（GB 14934-2016）、《塑料一次性餐饮具通用技术要求》（</w:t>
      </w:r>
      <w:r>
        <w:fldChar w:fldCharType="begin"/>
      </w:r>
      <w:r>
        <w:instrText xml:space="preserve"> HYPERLINK "http://www.bzsb.info/javascript:void(0);"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t>GB/T 18006.1-2009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000000"/>
          <w:sz w:val="32"/>
          <w:szCs w:val="32"/>
        </w:rPr>
        <w:t>、</w:t>
      </w:r>
      <w:r>
        <w:rPr>
          <w:rFonts w:ascii="Times New Roman" w:hAnsi="Times New Roman" w:cs="Times New Roman"/>
          <w:color w:val="000000"/>
          <w:sz w:val="32"/>
          <w:szCs w:val="32"/>
        </w:rPr>
        <w:t>现行有效的企业标准、团体标准、地方标准及产品明示质量要求。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抽检项目</w:t>
      </w:r>
    </w:p>
    <w:p>
      <w:pPr>
        <w:spacing w:line="580" w:lineRule="exact"/>
        <w:ind w:firstLine="640" w:firstLineChars="200"/>
      </w:pPr>
      <w:r>
        <w:rPr>
          <w:rFonts w:hint="eastAsia"/>
        </w:rPr>
        <w:t>非复合膜袋抽检项目包括感官要求、总迁移量、高锰酸钾消耗量 、重金属（以 Pb 计）、芳香族伯胺迁移总量 、脱色试验、特定迁移总量（以己内酰胺计）（限 PA 材质）、氯乙烯特定迁移量（限 PVC 、PVDC 材质）、邻苯类增塑剂特定迁移量（限 PVC 材质）、特定迁移量（以锑计）（限 PET 材质）、特定迁移总量（以对苯二甲酸计）（限 PET 、PB(A)T 材质）、特定迁移总量（以 1,2-乙二醇计）（限 PET 材质）、特定迁移总量（以 1,4-丁二醇计）（限PB(A)T 材质）、阻隔性能（氧气）、阻隔性能（水蒸气）、热封强度（限袋类产品）。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复合膜袋抽检项目包括感官要求、总迁移量、高锰酸钾消耗量、重金属（以 Pb 计）、芳香族伯胺迁移总量、溶剂残留量总量、苯类溶剂残留量、邻苯类增塑剂特定迁移量（限 PVC 材质）、微生物总数/菌落总数、致病菌、大肠菌群、霉菌、酵母菌、阻隔性能（氧气）、阻隔性能（水蒸气）、热封强度（仅对袋类产品）。</w:t>
      </w:r>
    </w:p>
    <w:p>
      <w:pPr>
        <w:spacing w:line="58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食品接触用塑料容器工具包括感官要求、总迁移量、高锰酸钾消耗量、重金属（以 Pb 计）、脱色试验、特定迁移量（以锑计）（限 PET 材质）、特定迁移总量（以己内酰胺计）（限 PA 材质）、氯乙烯特定迁移量（限 PVC 、PVDC 材质）、特定迁移总量（以对苯二甲酸计）（限 PET 、PB(A)T 材质）、特定迁移总量（以 1,2-乙二醇计）（限 PET 材质）、特定迁移总量（以 1,4-丁二醇计）（限 PB(A)T 材质）、1,3-丁二烯特定迁移量（限有丁二烯单体的聚合物）、邻苯类增塑剂特定迁移量（限 PVC 材质）、芳香族伯胺迁移总量。</w:t>
      </w:r>
    </w:p>
    <w:p>
      <w:pPr>
        <w:spacing w:line="580" w:lineRule="exact"/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塑料一次性餐饮具抽检项目包括感官要求、总迁移量、高锰酸钾消耗量、重金属（以Pb计）、脱色试验、特定迁移量（以锑计）（限PET材质）、特定迁移总量（以己内酰胺计）（限PA材质）、氯乙烯特定迁移量（限PVC、PVDC材质）、大肠菌群、沙门氏菌、霉菌计数、特定迁移总量（以对苯二甲酸计）（限PET、PB(A)T材质）、特定迁移总量（以</w:t>
      </w:r>
      <w:r>
        <w:rPr>
          <w:rFonts w:hint="eastAsia"/>
          <w:color w:val="000000"/>
          <w:szCs w:val="32"/>
        </w:rPr>
        <w:t>1，2-</w:t>
      </w:r>
      <w:r>
        <w:rPr>
          <w:color w:val="000000"/>
          <w:szCs w:val="32"/>
        </w:rPr>
        <w:t>乙二醇计）（限PET材质）、特定迁移总量（以1</w:t>
      </w:r>
      <w:r>
        <w:rPr>
          <w:rFonts w:hint="eastAsia"/>
          <w:color w:val="000000"/>
          <w:szCs w:val="32"/>
        </w:rPr>
        <w:t>，</w:t>
      </w:r>
      <w:r>
        <w:rPr>
          <w:color w:val="000000"/>
          <w:szCs w:val="32"/>
        </w:rPr>
        <w:t>4-丁二醇计）（限PB(A)T材质）、1</w:t>
      </w:r>
      <w:r>
        <w:rPr>
          <w:rFonts w:hint="eastAsia"/>
          <w:color w:val="000000"/>
          <w:szCs w:val="32"/>
        </w:rPr>
        <w:t>，</w:t>
      </w:r>
      <w:r>
        <w:rPr>
          <w:color w:val="000000"/>
          <w:szCs w:val="32"/>
        </w:rPr>
        <w:t>3-丁二烯特定迁移量（限有丁二烯单体的聚合物）、邻苯类增塑剂特定迁移量（限PVC材质）</w:t>
      </w:r>
      <w:r>
        <w:rPr>
          <w:rFonts w:hint="eastAsia"/>
          <w:color w:val="000000"/>
          <w:szCs w:val="32"/>
        </w:rPr>
        <w:t>、芳香族伯胺迁移总量</w:t>
      </w:r>
      <w:r>
        <w:rPr>
          <w:color w:val="000000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二、洗涤剂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（一）抽检依据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抽检依据是《食品安全国家标准 洗涤剂》（GB 14930.1-2022）、《手洗餐具用洗涤剂》（GB/T 9985-2000）、《手洗餐具用洗涤剂》（GB/T 9985-2022）,现行有效的企业标准、团体标准、地方标准及产品明示质量要求。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（二）抽检项目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餐具用洗涤剂抽检项目包括砷（以As计）、重金属（以Pb计）、甲醇、甲醛、菌落总数、大肠菌群、总有效物含量、pH。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玻璃材质食品相关产品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（一）抽检依据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抽检依据是《食品安全国家标准 玻璃制品》（GB 4806.5-2016）,现行有效的企业标准、团体标准、地方标准及产品明示质量要求。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（二）抽检项目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食品接触用玻璃器皿抽检项目包括感官要求、铅（Pb）、镉（Cd）。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竹木制食品相关产品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（一）抽检依据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抽检依据是《</w:t>
      </w:r>
      <w:r>
        <w:rPr>
          <w:spacing w:val="7"/>
        </w:rPr>
        <w:t>食品安全国家标准 食品接触用竹木</w:t>
      </w:r>
      <w:r>
        <w:rPr>
          <w:spacing w:val="6"/>
        </w:rPr>
        <w:t>材料及制品</w:t>
      </w:r>
      <w:r>
        <w:rPr>
          <w:rFonts w:hint="eastAsia" w:cs="仿宋_GB2312"/>
          <w:color w:val="000000"/>
          <w:szCs w:val="32"/>
        </w:rPr>
        <w:t>》（GB 4806.12-2022）,《</w:t>
      </w:r>
      <w:r>
        <w:rPr>
          <w:spacing w:val="3"/>
        </w:rPr>
        <w:t>一次性筷子</w:t>
      </w:r>
      <w:r>
        <w:rPr>
          <w:spacing w:val="34"/>
        </w:rPr>
        <w:t xml:space="preserve"> </w:t>
      </w:r>
      <w:r>
        <w:rPr>
          <w:spacing w:val="3"/>
        </w:rPr>
        <w:t>第</w:t>
      </w:r>
      <w:r>
        <w:rPr>
          <w:spacing w:val="-67"/>
        </w:rPr>
        <w:t xml:space="preserve"> </w:t>
      </w:r>
      <w:r>
        <w:rPr>
          <w:rFonts w:eastAsia="Times New Roman"/>
          <w:spacing w:val="3"/>
        </w:rPr>
        <w:t xml:space="preserve">2 </w:t>
      </w:r>
      <w:r>
        <w:rPr>
          <w:spacing w:val="3"/>
        </w:rPr>
        <w:t>部分：竹筷</w:t>
      </w:r>
      <w:r>
        <w:rPr>
          <w:rFonts w:hint="eastAsia" w:cs="仿宋_GB2312"/>
          <w:color w:val="000000"/>
          <w:szCs w:val="32"/>
        </w:rPr>
        <w:t>》（GB /T 19790.2-2005）现行有效的企业标准、团体标准、地方标准及产品明示质量要求。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（二）抽检项目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cs="仿宋_GB2312"/>
          <w:color w:val="000000"/>
          <w:szCs w:val="32"/>
        </w:rPr>
        <w:t>食品接触用竹木材料及制品</w:t>
      </w:r>
      <w:r>
        <w:rPr>
          <w:rFonts w:hint="eastAsia" w:cs="仿宋_GB2312"/>
          <w:color w:val="000000"/>
          <w:szCs w:val="32"/>
        </w:rPr>
        <w:t>抽检项目包括感官要求、总迁移量、甲醛、二氧化硫、五氯苯酚及其盐类（以五氯苯酚计）、噻菌灵、邻苯基苯酚、抑霉唑、联苯、大肠菌群、沙门氏菌。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纸材质食品相关产品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（一）抽检依据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抽检依据是《</w:t>
      </w:r>
      <w:r>
        <w:t>食品安全国家标准 食品接触用纸和纸板</w:t>
      </w:r>
      <w:r>
        <w:rPr>
          <w:spacing w:val="-1"/>
        </w:rPr>
        <w:t>材料及制品</w:t>
      </w:r>
      <w:r>
        <w:rPr>
          <w:rFonts w:hint="eastAsia" w:cs="仿宋_GB2312"/>
          <w:color w:val="000000"/>
          <w:szCs w:val="32"/>
        </w:rPr>
        <w:t>》（GB 4806.8-2022），现行有效的企业标准、团体标准、地方标准及产品明示质量要求。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（二）抽检项目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食品接触用纸包装容器抽检项目包括感官、浸泡液、总迁移量、重金属（以 Pb 计）、铅（Pb）、砷（As）、荧光性物质波长 254nm 和365nm、甲醛、1,3-二氯-2-丙醇、3-氯-1,2-丙二醇、大肠菌群、沙门氏菌、霉菌。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金属材质食品相关产品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抽检依据</w:t>
      </w:r>
    </w:p>
    <w:p>
      <w:pPr>
        <w:spacing w:line="580" w:lineRule="exact"/>
        <w:ind w:firstLine="640" w:firstLineChars="200"/>
      </w:pPr>
      <w:r>
        <w:rPr>
          <w:rFonts w:hint="eastAsia"/>
        </w:rPr>
        <w:t>抽检依据是《</w:t>
      </w:r>
      <w:r>
        <w:t>食品安全国家标准 食品接触用金属材料及制品</w:t>
      </w:r>
      <w:r>
        <w:rPr>
          <w:rFonts w:hint="eastAsia"/>
        </w:rPr>
        <w:t>》（GB 4806.9-2023），《</w:t>
      </w:r>
      <w:r>
        <w:t>家用和类似用途电器的安全第 1 部分：通用要求</w:t>
      </w:r>
      <w:r>
        <w:rPr>
          <w:rFonts w:hint="eastAsia"/>
        </w:rPr>
        <w:t>》（GB 4706.1-2005）、《</w:t>
      </w:r>
      <w:r>
        <w:t>家用和类似用途电器的安全商用电深油炸锅的特殊要求</w:t>
      </w:r>
      <w:r>
        <w:rPr>
          <w:rFonts w:hint="eastAsia"/>
        </w:rPr>
        <w:t>》（GB 4806.33-2008）、《</w:t>
      </w:r>
      <w:r>
        <w:t>家用和类似用途电器的安全商用电强制对流烤炉、蒸汽炊具和蒸汽对流炉的特殊要求</w:t>
      </w:r>
      <w:r>
        <w:rPr>
          <w:rFonts w:hint="eastAsia"/>
        </w:rPr>
        <w:t>》（GB 4806.34-2008）、《</w:t>
      </w:r>
      <w:r>
        <w:t>家用和类似用途电器的安全商用电煮锅的特殊要求</w:t>
      </w:r>
      <w:r>
        <w:rPr>
          <w:rFonts w:hint="eastAsia"/>
        </w:rPr>
        <w:t>》（GB 4806.35-2008）、《</w:t>
      </w:r>
      <w:r>
        <w:t>家用和类似用途电器的安全商用电开水器和液体加热器的特殊要求</w:t>
      </w:r>
      <w:r>
        <w:rPr>
          <w:rFonts w:hint="eastAsia"/>
        </w:rPr>
        <w:t>》（GB 4706.36-2014）、《</w:t>
      </w:r>
      <w:r>
        <w:t>家用和类似用途电器的安全商用单双面电热铛的特殊要求</w:t>
      </w:r>
      <w:r>
        <w:rPr>
          <w:rFonts w:hint="eastAsia"/>
        </w:rPr>
        <w:t>》（GB 4706.37-2008）、《</w:t>
      </w:r>
      <w:r>
        <w:t>家用和类似用途电器的安全商用电烤炉和烤面包炉的特殊要求</w:t>
      </w:r>
      <w:r>
        <w:rPr>
          <w:rFonts w:hint="eastAsia"/>
        </w:rPr>
        <w:t>》（GB 4706.39-2008）、《</w:t>
      </w:r>
      <w:r>
        <w:t>家用和类似用途电器的安全商用多用途电平锅的特殊要求</w:t>
      </w:r>
      <w:r>
        <w:rPr>
          <w:rFonts w:hint="eastAsia"/>
        </w:rPr>
        <w:t>》（GB 4706.40-2008）、《</w:t>
      </w:r>
      <w:r>
        <w:t>家用和类似用途电器的安全商用电炉灶、烤箱、灶和灶单元的特殊要求</w:t>
      </w:r>
      <w:r>
        <w:rPr>
          <w:rFonts w:hint="eastAsia"/>
        </w:rPr>
        <w:t>》（GB 4706.52-2008）、《</w:t>
      </w:r>
      <w:r>
        <w:t>电热食品烤炉</w:t>
      </w:r>
      <w:r>
        <w:rPr>
          <w:rFonts w:hint="eastAsia"/>
        </w:rPr>
        <w:t>》（GB/T 10664-2022）,现行有效的企业标准、团体标准、地方标准及产品明示质量要求、《食品安全国家标准 食品接触用橡胶材料及制品》（GB 4806.11-2016）、《食品安全国家标准 食品接触用橡胶材料及制品》（GB 4806.11-2023）。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抽检项目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食品接触用金属器皿抽检项目包括感官要求、砷、镉、镍、铬、铅、锑、铝、钴、铜、锰、钼、锡、锌。</w:t>
      </w:r>
    </w:p>
    <w:p>
      <w:pPr>
        <w:spacing w:line="580" w:lineRule="exact"/>
        <w:ind w:firstLine="660" w:firstLineChars="200"/>
        <w:rPr>
          <w:spacing w:val="5"/>
        </w:rPr>
      </w:pPr>
      <w:r>
        <w:rPr>
          <w:rFonts w:hint="eastAsia"/>
          <w:spacing w:val="5"/>
        </w:rPr>
        <w:t>工业和</w:t>
      </w:r>
      <w:r>
        <w:rPr>
          <w:spacing w:val="5"/>
        </w:rPr>
        <w:t>商用电热食品加工设备</w:t>
      </w:r>
      <w:r>
        <w:rPr>
          <w:rFonts w:hint="eastAsia"/>
          <w:spacing w:val="5"/>
        </w:rPr>
        <w:t>抽检项目包括砷、镉、铅、镍、铬、锑、铝、钴、铜、锰、钼、锡、锌、对触及带电部件的防护、输入功率和电流、工作温度下的泄漏电流和电气强度、泄漏电流和电气强度、非正常工作、稳定性和机械危险、机械强度、结构、内部布线、电源连接和外部软线、外部导线用接线端子、接地措施、螺钉和连接。</w:t>
      </w:r>
    </w:p>
    <w:p>
      <w:pPr>
        <w:spacing w:line="58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不锈钢压力锅抽检项目包括锅体与食品接触部位（感官要求、</w:t>
      </w:r>
      <w:r>
        <w:rPr>
          <w:rFonts w:hint="eastAsia"/>
          <w:spacing w:val="5"/>
        </w:rPr>
        <w:t>砷、镉、镍、铬、铅、锑、铝、钴、铜、锰、钼、锡、锌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/>
          <w:spacing w:val="5"/>
        </w:rPr>
        <w:t>、阀体组件与食品接触部位（</w:t>
      </w:r>
      <w:r>
        <w:rPr>
          <w:rFonts w:hint="eastAsia" w:cs="仿宋_GB2312"/>
          <w:color w:val="000000"/>
          <w:szCs w:val="32"/>
        </w:rPr>
        <w:t>感官要求、</w:t>
      </w:r>
      <w:r>
        <w:rPr>
          <w:rFonts w:hint="eastAsia"/>
          <w:spacing w:val="5"/>
        </w:rPr>
        <w:t>砷、镉、镍、铬、铅、锑、铝、钴、铜、锰、钼、锡、锌）、锅体密封圈与食品接触部位（</w:t>
      </w:r>
      <w:r>
        <w:rPr>
          <w:rFonts w:hint="eastAsia" w:cs="仿宋_GB2312"/>
          <w:color w:val="000000"/>
          <w:szCs w:val="32"/>
        </w:rPr>
        <w:t>感官要求、</w:t>
      </w:r>
      <w:r>
        <w:rPr>
          <w:rFonts w:hint="eastAsia"/>
          <w:spacing w:val="5"/>
        </w:rPr>
        <w:t>总迁移量、</w:t>
      </w:r>
      <w:r>
        <w:rPr>
          <w:rFonts w:hint="eastAsia"/>
          <w:color w:val="000000"/>
          <w:szCs w:val="32"/>
        </w:rPr>
        <w:t>高锰酸钾消耗量、重金属（以Pb计）</w:t>
      </w:r>
      <w:r>
        <w:rPr>
          <w:rFonts w:hint="eastAsia"/>
          <w:spacing w:val="5"/>
        </w:rPr>
        <w:t>）</w:t>
      </w:r>
      <w:r>
        <w:rPr>
          <w:rFonts w:hint="eastAsia"/>
          <w:color w:val="000000"/>
          <w:szCs w:val="32"/>
        </w:rPr>
        <w:t>、阀体密封圈与食品接触部位（</w:t>
      </w:r>
      <w:r>
        <w:rPr>
          <w:rFonts w:hint="eastAsia" w:cs="仿宋_GB2312"/>
          <w:color w:val="000000"/>
          <w:szCs w:val="32"/>
        </w:rPr>
        <w:t>感官、</w:t>
      </w:r>
      <w:r>
        <w:rPr>
          <w:rFonts w:hint="eastAsia"/>
          <w:spacing w:val="5"/>
        </w:rPr>
        <w:t>总迁移量、</w:t>
      </w:r>
      <w:r>
        <w:rPr>
          <w:rFonts w:hint="eastAsia"/>
          <w:color w:val="000000"/>
          <w:szCs w:val="32"/>
        </w:rPr>
        <w:t>高锰酸钾消耗量、重金属（以Pb计））。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其他食品相关产品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（一）抽检依据</w:t>
      </w:r>
    </w:p>
    <w:p>
      <w:pPr>
        <w:spacing w:line="580" w:lineRule="exact"/>
        <w:ind w:firstLine="640" w:firstLineChars="200"/>
        <w:rPr>
          <w:rFonts w:cs="仿宋"/>
          <w:color w:val="000000"/>
          <w:szCs w:val="32"/>
        </w:rPr>
      </w:pPr>
      <w:r>
        <w:rPr>
          <w:rFonts w:hint="eastAsia"/>
          <w:color w:val="000000"/>
          <w:szCs w:val="32"/>
        </w:rPr>
        <w:t>抽检依据是</w:t>
      </w:r>
      <w:r>
        <w:rPr>
          <w:rFonts w:hint="eastAsia" w:eastAsia="楷体_GB2312" w:cs="楷体_GB2312"/>
          <w:color w:val="000000"/>
          <w:szCs w:val="32"/>
        </w:rPr>
        <w:t>《食品安全国家标准 奶嘴》（GB 4806.2-2015）、《食品安全国家标准 食品接触材料及制品用添加剂使用标准》（GB 9685-2016）、</w:t>
      </w:r>
      <w:r>
        <w:rPr>
          <w:rFonts w:hint="eastAsia"/>
          <w:color w:val="000000"/>
          <w:szCs w:val="32"/>
        </w:rPr>
        <w:t>《食品安全国家标准 食品接触用塑料树脂》（GB 4806.6-2016）、《食品安全国家标准 食品接触用塑料材料及制品》（GB 4806.7-2016）、《食品安全国家标准 食品接触用塑料材料及制品》（GB 4806.7-2023）、《婴幼儿用奶瓶和奶嘴》（GB 38995-2020）、</w:t>
      </w:r>
      <w:r>
        <w:rPr>
          <w:color w:val="000000"/>
          <w:szCs w:val="32"/>
        </w:rPr>
        <w:t>现行有效的企业标准、团体标准、地方标准及产品明示质量要求。</w:t>
      </w:r>
    </w:p>
    <w:p>
      <w:pPr>
        <w:spacing w:line="580" w:lineRule="exact"/>
        <w:ind w:firstLine="640" w:firstLineChars="200"/>
        <w:rPr>
          <w:rFonts w:eastAsia="楷体_GB2312" w:cs="楷体_GB2312"/>
          <w:color w:val="000000"/>
          <w:szCs w:val="32"/>
        </w:rPr>
      </w:pPr>
      <w:r>
        <w:rPr>
          <w:rFonts w:hint="eastAsia" w:eastAsia="楷体_GB2312" w:cs="楷体_GB2312"/>
          <w:color w:val="000000"/>
          <w:szCs w:val="32"/>
        </w:rPr>
        <w:t>（二）抽检项目</w:t>
      </w:r>
    </w:p>
    <w:p>
      <w:pPr>
        <w:spacing w:line="58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color w:val="000000"/>
          <w:szCs w:val="32"/>
        </w:rPr>
        <w:t>奶嘴抽检项目包括感官要求、总迁移量、高锰酸钾消耗量、重金属（以Pb计）、锌（Zn）迁移量、挥发性物质、2，6-二-叔丁基对甲苯酚迁移量、2，2’-亚甲基双-（4-甲基-6-叔丁基苯酚）迁移量、N-亚硝胺和N-亚硝胺可生成物释放量（人工唾液）（N-亚硝胺）、N-亚硝胺和N-亚硝胺可生成物释放量（人工唾液）（N-亚硝胺可生成物）、邻苯类增塑剂。</w:t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Fq6k8jKAQAAlwMAAA4AAAAA&#10;AAAAAQAgAAAAOAEAAGRycy9lMm9Eb2MueG1sUEsBAhQAFAAAAAgAh07iQGhpgkvTAAAABQEAAA8A&#10;AAAAAAAAAQAgAAAAOAAAAGRycy9kb3ducmV2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69A66"/>
    <w:multiLevelType w:val="singleLevel"/>
    <w:tmpl w:val="9D269A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1DB2A1"/>
    <w:multiLevelType w:val="singleLevel"/>
    <w:tmpl w:val="FB1DB2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24911A"/>
    <w:multiLevelType w:val="singleLevel"/>
    <w:tmpl w:val="4F2491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4D0B"/>
    <w:rsid w:val="000F09A8"/>
    <w:rsid w:val="0022429B"/>
    <w:rsid w:val="0023501F"/>
    <w:rsid w:val="002C04FE"/>
    <w:rsid w:val="0034491D"/>
    <w:rsid w:val="003859AB"/>
    <w:rsid w:val="005D4C82"/>
    <w:rsid w:val="00791D10"/>
    <w:rsid w:val="00891B5C"/>
    <w:rsid w:val="008B7315"/>
    <w:rsid w:val="008C4F4F"/>
    <w:rsid w:val="00B06A9E"/>
    <w:rsid w:val="00B44135"/>
    <w:rsid w:val="00B6239C"/>
    <w:rsid w:val="06684D0B"/>
    <w:rsid w:val="092F04B4"/>
    <w:rsid w:val="125009A6"/>
    <w:rsid w:val="23CE2BC4"/>
    <w:rsid w:val="28B54711"/>
    <w:rsid w:val="2A5D5765"/>
    <w:rsid w:val="2D1F3F5D"/>
    <w:rsid w:val="2FFAF04D"/>
    <w:rsid w:val="38D33594"/>
    <w:rsid w:val="3FDCB83C"/>
    <w:rsid w:val="41BD02BB"/>
    <w:rsid w:val="44B3226A"/>
    <w:rsid w:val="49EA64D4"/>
    <w:rsid w:val="516A09F5"/>
    <w:rsid w:val="53D470CC"/>
    <w:rsid w:val="55547B0D"/>
    <w:rsid w:val="569020C9"/>
    <w:rsid w:val="5AA70461"/>
    <w:rsid w:val="673E4DE3"/>
    <w:rsid w:val="69803486"/>
    <w:rsid w:val="69BB5825"/>
    <w:rsid w:val="76A068A4"/>
    <w:rsid w:val="EEBA1EC6"/>
    <w:rsid w:val="F7E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  <w:lang w:eastAsia="en-US"/>
    </w:r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32</Pages>
  <Words>3352</Words>
  <Characters>19109</Characters>
  <Lines>159</Lines>
  <Paragraphs>44</Paragraphs>
  <TotalTime>154</TotalTime>
  <ScaleCrop>false</ScaleCrop>
  <LinksUpToDate>false</LinksUpToDate>
  <CharactersWithSpaces>22417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2025-12-25T22:45:00Z</dcterms:created>
  <dc:creator>胡翌婧</dc:creator>
  <cp:lastModifiedBy>uos</cp:lastModifiedBy>
  <dcterms:modified xsi:type="dcterms:W3CDTF">2025-12-26T09:55:25Z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14246EEE1C7645DA939DEC1D1C1FDA6E_11</vt:lpwstr>
  </property>
  <property fmtid="{D5CDD505-2E9C-101B-9397-08002B2CF9AE}" pid="4" name="KSOTemplateDocerSaveRecord">
    <vt:lpwstr>eyJoZGlkIjoiNjMxNTU5M2NhODE0YzdhNzkyMDM2MzU4ODU3OGQ2YTMiLCJ1c2VySWQiOiIzNDA1MTE2NDYifQ==</vt:lpwstr>
  </property>
</Properties>
</file>