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eastAsia="仿宋_GB2312"/>
          <w:sz w:val="32"/>
          <w:szCs w:val="32"/>
          <w:highlight w:val="none"/>
        </w:rPr>
      </w:pPr>
      <w:bookmarkStart w:id="0" w:name="_GoBack"/>
      <w:bookmarkEnd w:id="0"/>
      <w:r>
        <w:rPr>
          <w:rFonts w:eastAsia="仿宋_GB2312"/>
          <w:sz w:val="32"/>
          <w:szCs w:val="32"/>
          <w:highlight w:val="none"/>
        </w:rPr>
        <w:t>附件</w:t>
      </w:r>
      <w:r>
        <w:rPr>
          <w:rFonts w:hint="eastAsia" w:eastAsia="仿宋_GB2312"/>
          <w:sz w:val="32"/>
          <w:szCs w:val="32"/>
          <w:highlight w:val="none"/>
        </w:rPr>
        <w:t>2</w:t>
      </w:r>
    </w:p>
    <w:p>
      <w:pPr>
        <w:spacing w:line="600" w:lineRule="exact"/>
        <w:jc w:val="center"/>
        <w:rPr>
          <w:rFonts w:eastAsia="方正小标宋简体"/>
          <w:bCs/>
          <w:kern w:val="0"/>
          <w:sz w:val="44"/>
          <w:szCs w:val="44"/>
          <w:highlight w:val="none"/>
        </w:rPr>
      </w:pPr>
      <w:r>
        <w:rPr>
          <w:rFonts w:hint="eastAsia" w:eastAsia="方正小标宋简体"/>
          <w:bCs/>
          <w:sz w:val="44"/>
          <w:szCs w:val="44"/>
          <w:highlight w:val="none"/>
        </w:rPr>
        <w:t>市市场智慧监管综合管理平台运维（2025年）项目</w:t>
      </w:r>
      <w:r>
        <w:rPr>
          <w:rFonts w:eastAsia="方正小标宋简体"/>
          <w:bCs/>
          <w:kern w:val="0"/>
          <w:sz w:val="44"/>
          <w:szCs w:val="44"/>
          <w:highlight w:val="none"/>
        </w:rPr>
        <w:t>综合评</w:t>
      </w:r>
      <w:r>
        <w:rPr>
          <w:rFonts w:hint="eastAsia" w:eastAsia="方正小标宋简体"/>
          <w:bCs/>
          <w:kern w:val="0"/>
          <w:sz w:val="44"/>
          <w:szCs w:val="44"/>
          <w:highlight w:val="none"/>
        </w:rPr>
        <w:t>分</w:t>
      </w:r>
      <w:r>
        <w:rPr>
          <w:rFonts w:eastAsia="方正小标宋简体"/>
          <w:bCs/>
          <w:kern w:val="0"/>
          <w:sz w:val="44"/>
          <w:szCs w:val="44"/>
          <w:highlight w:val="none"/>
        </w:rPr>
        <w:t>表</w:t>
      </w:r>
    </w:p>
    <w:tbl>
      <w:tblPr>
        <w:tblStyle w:val="4"/>
        <w:tblW w:w="149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15"/>
        <w:gridCol w:w="2061"/>
        <w:gridCol w:w="1199"/>
        <w:gridCol w:w="9007"/>
        <w:gridCol w:w="13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768" w:hRule="atLeast"/>
          <w:tblHeader/>
          <w:jc w:val="center"/>
        </w:trPr>
        <w:tc>
          <w:tcPr>
            <w:tcW w:w="3376" w:type="dxa"/>
            <w:gridSpan w:val="2"/>
            <w:noWrap w:val="0"/>
            <w:vAlign w:val="center"/>
          </w:tcPr>
          <w:p>
            <w:pPr>
              <w:widowControl/>
              <w:jc w:val="center"/>
              <w:rPr>
                <w:rFonts w:ascii="宋体" w:hAnsi="宋体" w:cs="黑体"/>
                <w:kern w:val="0"/>
                <w:highlight w:val="none"/>
              </w:rPr>
            </w:pPr>
            <w:r>
              <w:rPr>
                <w:rFonts w:hint="eastAsia" w:ascii="宋体" w:hAnsi="宋体" w:cs="黑体"/>
                <w:kern w:val="0"/>
                <w:highlight w:val="none"/>
              </w:rPr>
              <w:t>评审项目分值</w:t>
            </w:r>
          </w:p>
          <w:p>
            <w:pPr>
              <w:widowControl/>
              <w:jc w:val="center"/>
              <w:rPr>
                <w:rFonts w:ascii="宋体" w:hAnsi="宋体" w:cs="黑体"/>
                <w:kern w:val="0"/>
                <w:highlight w:val="none"/>
              </w:rPr>
            </w:pPr>
            <w:r>
              <w:rPr>
                <w:rFonts w:hint="eastAsia" w:ascii="宋体" w:hAnsi="宋体" w:cs="黑体"/>
                <w:kern w:val="0"/>
                <w:highlight w:val="none"/>
              </w:rPr>
              <w:t>（可自定）</w:t>
            </w:r>
          </w:p>
        </w:tc>
        <w:tc>
          <w:tcPr>
            <w:tcW w:w="1199" w:type="dxa"/>
            <w:noWrap w:val="0"/>
            <w:vAlign w:val="center"/>
          </w:tcPr>
          <w:p>
            <w:pPr>
              <w:widowControl/>
              <w:jc w:val="center"/>
              <w:rPr>
                <w:rFonts w:ascii="宋体" w:hAnsi="宋体" w:cs="黑体"/>
                <w:kern w:val="0"/>
                <w:highlight w:val="none"/>
              </w:rPr>
            </w:pPr>
            <w:r>
              <w:rPr>
                <w:rFonts w:hint="eastAsia" w:ascii="宋体" w:hAnsi="宋体" w:cs="黑体"/>
                <w:kern w:val="0"/>
                <w:highlight w:val="none"/>
              </w:rPr>
              <w:t>分值</w:t>
            </w:r>
          </w:p>
          <w:p>
            <w:pPr>
              <w:widowControl/>
              <w:jc w:val="center"/>
              <w:rPr>
                <w:rFonts w:ascii="宋体" w:hAnsi="宋体" w:cs="黑体"/>
                <w:kern w:val="0"/>
                <w:highlight w:val="none"/>
              </w:rPr>
            </w:pPr>
            <w:r>
              <w:rPr>
                <w:rFonts w:hint="eastAsia" w:ascii="宋体" w:hAnsi="宋体" w:cs="黑体"/>
                <w:kern w:val="0"/>
                <w:highlight w:val="none"/>
              </w:rPr>
              <w:t>（可自定）</w:t>
            </w:r>
          </w:p>
        </w:tc>
        <w:tc>
          <w:tcPr>
            <w:tcW w:w="9007" w:type="dxa"/>
            <w:noWrap w:val="0"/>
            <w:vAlign w:val="center"/>
          </w:tcPr>
          <w:p>
            <w:pPr>
              <w:widowControl/>
              <w:jc w:val="center"/>
              <w:rPr>
                <w:rFonts w:ascii="宋体" w:hAnsi="宋体" w:cs="黑体"/>
                <w:kern w:val="0"/>
                <w:highlight w:val="none"/>
              </w:rPr>
            </w:pPr>
            <w:r>
              <w:rPr>
                <w:rFonts w:hint="eastAsia" w:ascii="宋体" w:hAnsi="宋体" w:cs="黑体"/>
                <w:kern w:val="0"/>
                <w:highlight w:val="none"/>
              </w:rPr>
              <w:t>评审标准分值（可自定）</w:t>
            </w:r>
          </w:p>
        </w:tc>
        <w:tc>
          <w:tcPr>
            <w:tcW w:w="1326" w:type="dxa"/>
            <w:noWrap w:val="0"/>
            <w:vAlign w:val="center"/>
          </w:tcPr>
          <w:p>
            <w:pPr>
              <w:widowControl/>
              <w:jc w:val="center"/>
              <w:rPr>
                <w:rFonts w:ascii="宋体" w:hAnsi="宋体" w:cs="黑体"/>
                <w:kern w:val="0"/>
                <w:highlight w:val="none"/>
              </w:rPr>
            </w:pPr>
            <w:r>
              <w:rPr>
                <w:rFonts w:hint="eastAsia" w:ascii="宋体" w:hAnsi="宋体" w:cs="黑体"/>
                <w:kern w:val="0"/>
                <w:highlight w:val="none"/>
              </w:rPr>
              <w:t>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823" w:hRule="atLeast"/>
          <w:jc w:val="center"/>
        </w:trPr>
        <w:tc>
          <w:tcPr>
            <w:tcW w:w="3376" w:type="dxa"/>
            <w:gridSpan w:val="2"/>
            <w:noWrap w:val="0"/>
            <w:vAlign w:val="center"/>
          </w:tcPr>
          <w:p>
            <w:pPr>
              <w:widowControl/>
              <w:jc w:val="center"/>
              <w:rPr>
                <w:rFonts w:ascii="宋体" w:hAnsi="宋体"/>
                <w:kern w:val="0"/>
                <w:highlight w:val="none"/>
              </w:rPr>
            </w:pPr>
            <w:r>
              <w:rPr>
                <w:rFonts w:ascii="宋体" w:hAnsi="宋体"/>
                <w:kern w:val="0"/>
                <w:highlight w:val="none"/>
              </w:rPr>
              <w:t>投标报价</w:t>
            </w:r>
          </w:p>
          <w:p>
            <w:pPr>
              <w:widowControl/>
              <w:jc w:val="center"/>
              <w:rPr>
                <w:rFonts w:ascii="宋体" w:hAnsi="宋体"/>
                <w:kern w:val="0"/>
                <w:highlight w:val="none"/>
              </w:rPr>
            </w:pPr>
            <w:r>
              <w:rPr>
                <w:rFonts w:ascii="宋体" w:hAnsi="宋体"/>
                <w:kern w:val="0"/>
                <w:highlight w:val="none"/>
              </w:rPr>
              <w:t>（权重20%）</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20</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以所有合格供应商评标价的最低价作为评分基准价。供应商的价格分按下式计算：价格分=（评分基准价/评标价）×20</w:t>
            </w:r>
          </w:p>
        </w:tc>
        <w:tc>
          <w:tcPr>
            <w:tcW w:w="1326" w:type="dxa"/>
            <w:noWrap w:val="0"/>
            <w:vAlign w:val="center"/>
          </w:tcPr>
          <w:p>
            <w:pPr>
              <w:widowControl/>
              <w:jc w:val="center"/>
              <w:rPr>
                <w:rFonts w:ascii="宋体" w:hAnsi="宋体"/>
                <w:kern w:val="0"/>
                <w:highlight w:val="none"/>
              </w:rPr>
            </w:pPr>
          </w:p>
          <w:p>
            <w:pPr>
              <w:widowControl/>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664" w:hRule="atLeast"/>
          <w:jc w:val="center"/>
        </w:trPr>
        <w:tc>
          <w:tcPr>
            <w:tcW w:w="1315" w:type="dxa"/>
            <w:vMerge w:val="restart"/>
            <w:noWrap w:val="0"/>
            <w:vAlign w:val="center"/>
          </w:tcPr>
          <w:p>
            <w:pPr>
              <w:widowControl/>
              <w:jc w:val="center"/>
              <w:rPr>
                <w:rFonts w:ascii="宋体" w:hAnsi="宋体"/>
                <w:kern w:val="0"/>
                <w:highlight w:val="none"/>
              </w:rPr>
            </w:pPr>
            <w:r>
              <w:rPr>
                <w:rFonts w:ascii="宋体" w:hAnsi="宋体"/>
                <w:kern w:val="0"/>
                <w:highlight w:val="none"/>
              </w:rPr>
              <w:t>技术部分</w:t>
            </w:r>
          </w:p>
          <w:p>
            <w:pPr>
              <w:widowControl/>
              <w:jc w:val="center"/>
              <w:rPr>
                <w:rFonts w:ascii="宋体" w:hAnsi="宋体"/>
                <w:kern w:val="0"/>
                <w:highlight w:val="none"/>
              </w:rPr>
            </w:pPr>
            <w:r>
              <w:rPr>
                <w:rFonts w:ascii="宋体" w:hAnsi="宋体"/>
                <w:kern w:val="0"/>
                <w:highlight w:val="none"/>
              </w:rPr>
              <w:t>（权重40%）</w:t>
            </w:r>
          </w:p>
        </w:tc>
        <w:tc>
          <w:tcPr>
            <w:tcW w:w="2061" w:type="dxa"/>
            <w:noWrap w:val="0"/>
            <w:vAlign w:val="center"/>
          </w:tcPr>
          <w:p>
            <w:pPr>
              <w:jc w:val="center"/>
              <w:rPr>
                <w:rFonts w:ascii="宋体" w:hAnsi="宋体"/>
                <w:kern w:val="0"/>
                <w:highlight w:val="none"/>
              </w:rPr>
            </w:pPr>
            <w:r>
              <w:rPr>
                <w:rFonts w:ascii="宋体" w:hAnsi="宋体"/>
                <w:kern w:val="0"/>
                <w:highlight w:val="none"/>
              </w:rPr>
              <w:t>对本项目总体理解</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5</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根据供应商对项目的认识及理解、对项目重点、难点分析把握，进行综合比较。优5分，良3分，一般1分</w:t>
            </w:r>
            <w:r>
              <w:rPr>
                <w:rFonts w:hint="eastAsia" w:ascii="宋体" w:hAnsi="宋体"/>
                <w:kern w:val="0"/>
                <w:highlight w:val="none"/>
                <w:lang w:eastAsia="zh-CN"/>
              </w:rPr>
              <w:t>，不提供不得分</w:t>
            </w:r>
            <w:r>
              <w:rPr>
                <w:rFonts w:ascii="宋体" w:hAnsi="宋体"/>
                <w:kern w:val="0"/>
                <w:highlight w:val="none"/>
              </w:rPr>
              <w:t>。</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575" w:hRule="atLeast"/>
          <w:jc w:val="center"/>
        </w:trPr>
        <w:tc>
          <w:tcPr>
            <w:tcW w:w="1315" w:type="dxa"/>
            <w:vMerge w:val="continue"/>
            <w:noWrap w:val="0"/>
            <w:vAlign w:val="center"/>
          </w:tcPr>
          <w:p>
            <w:pPr>
              <w:widowControl/>
              <w:jc w:val="center"/>
              <w:rPr>
                <w:rFonts w:ascii="宋体" w:hAnsi="宋体"/>
                <w:kern w:val="0"/>
                <w:highlight w:val="none"/>
              </w:rPr>
            </w:pPr>
          </w:p>
        </w:tc>
        <w:tc>
          <w:tcPr>
            <w:tcW w:w="2061" w:type="dxa"/>
            <w:noWrap w:val="0"/>
            <w:vAlign w:val="center"/>
          </w:tcPr>
          <w:p>
            <w:pPr>
              <w:jc w:val="center"/>
              <w:rPr>
                <w:rFonts w:ascii="宋体" w:hAnsi="宋体"/>
                <w:kern w:val="0"/>
                <w:highlight w:val="none"/>
              </w:rPr>
            </w:pPr>
            <w:r>
              <w:rPr>
                <w:rFonts w:ascii="宋体" w:hAnsi="宋体"/>
                <w:kern w:val="0"/>
                <w:highlight w:val="none"/>
              </w:rPr>
              <w:t>供应商相关资质</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7</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根据供应商资质证书、投入本项目人员设备等综合比较。</w:t>
            </w:r>
            <w:r>
              <w:rPr>
                <w:rFonts w:hint="eastAsia" w:ascii="宋体" w:hAnsi="宋体"/>
                <w:kern w:val="0"/>
                <w:highlight w:val="none"/>
              </w:rPr>
              <w:t>优7分，良5分，一般3分，不提供不得分。</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683" w:hRule="atLeast"/>
          <w:jc w:val="center"/>
        </w:trPr>
        <w:tc>
          <w:tcPr>
            <w:tcW w:w="1315" w:type="dxa"/>
            <w:vMerge w:val="continue"/>
            <w:noWrap w:val="0"/>
            <w:vAlign w:val="center"/>
          </w:tcPr>
          <w:p>
            <w:pPr>
              <w:widowControl/>
              <w:jc w:val="center"/>
              <w:rPr>
                <w:rFonts w:ascii="宋体" w:hAnsi="宋体"/>
                <w:kern w:val="0"/>
                <w:highlight w:val="none"/>
              </w:rPr>
            </w:pPr>
          </w:p>
        </w:tc>
        <w:tc>
          <w:tcPr>
            <w:tcW w:w="2061" w:type="dxa"/>
            <w:noWrap w:val="0"/>
            <w:vAlign w:val="center"/>
          </w:tcPr>
          <w:p>
            <w:pPr>
              <w:jc w:val="center"/>
              <w:rPr>
                <w:rFonts w:ascii="宋体" w:hAnsi="宋体"/>
                <w:kern w:val="0"/>
                <w:highlight w:val="none"/>
              </w:rPr>
            </w:pPr>
            <w:r>
              <w:rPr>
                <w:rFonts w:ascii="宋体" w:hAnsi="宋体"/>
                <w:kern w:val="0"/>
                <w:highlight w:val="none"/>
              </w:rPr>
              <w:t>服务方案</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23</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根据供应商的服务方案，包括策划设计、流程节点、实施计划等是否完善周到、可行，是否符合采购文件需求等进行综合比较。优23分，良17分，一般11分</w:t>
            </w:r>
            <w:r>
              <w:rPr>
                <w:rFonts w:hint="eastAsia" w:ascii="宋体" w:hAnsi="宋体"/>
                <w:kern w:val="0"/>
                <w:highlight w:val="none"/>
              </w:rPr>
              <w:t>，不提供不得分</w:t>
            </w:r>
            <w:r>
              <w:rPr>
                <w:rFonts w:ascii="宋体" w:hAnsi="宋体"/>
                <w:kern w:val="0"/>
                <w:highlight w:val="none"/>
              </w:rPr>
              <w:t>。</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454" w:hRule="atLeast"/>
          <w:jc w:val="center"/>
        </w:trPr>
        <w:tc>
          <w:tcPr>
            <w:tcW w:w="1315" w:type="dxa"/>
            <w:vMerge w:val="continue"/>
            <w:noWrap w:val="0"/>
            <w:vAlign w:val="center"/>
          </w:tcPr>
          <w:p>
            <w:pPr>
              <w:widowControl/>
              <w:jc w:val="center"/>
              <w:rPr>
                <w:rFonts w:ascii="宋体" w:hAnsi="宋体"/>
                <w:kern w:val="0"/>
                <w:highlight w:val="none"/>
              </w:rPr>
            </w:pPr>
          </w:p>
        </w:tc>
        <w:tc>
          <w:tcPr>
            <w:tcW w:w="2061" w:type="dxa"/>
            <w:noWrap w:val="0"/>
            <w:vAlign w:val="center"/>
          </w:tcPr>
          <w:p>
            <w:pPr>
              <w:jc w:val="center"/>
              <w:rPr>
                <w:rFonts w:ascii="宋体" w:hAnsi="宋体"/>
                <w:kern w:val="0"/>
                <w:highlight w:val="none"/>
              </w:rPr>
            </w:pPr>
            <w:r>
              <w:rPr>
                <w:rFonts w:ascii="宋体" w:hAnsi="宋体"/>
                <w:kern w:val="0"/>
                <w:highlight w:val="none"/>
              </w:rPr>
              <w:t>其他</w:t>
            </w:r>
            <w:r>
              <w:rPr>
                <w:rFonts w:hint="eastAsia" w:ascii="宋体" w:hAnsi="宋体"/>
                <w:kern w:val="0"/>
                <w:highlight w:val="none"/>
              </w:rPr>
              <w:t>参数</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5</w:t>
            </w:r>
          </w:p>
        </w:tc>
        <w:tc>
          <w:tcPr>
            <w:tcW w:w="9007" w:type="dxa"/>
            <w:noWrap w:val="0"/>
            <w:vAlign w:val="center"/>
          </w:tcPr>
          <w:p>
            <w:pPr>
              <w:widowControl/>
              <w:jc w:val="left"/>
              <w:rPr>
                <w:rFonts w:ascii="宋体" w:hAnsi="宋体"/>
                <w:kern w:val="0"/>
                <w:highlight w:val="none"/>
              </w:rPr>
            </w:pPr>
            <w:r>
              <w:rPr>
                <w:rFonts w:hint="eastAsia" w:ascii="宋体" w:hAnsi="宋体"/>
                <w:kern w:val="0"/>
                <w:highlight w:val="none"/>
              </w:rPr>
              <w:t>根据供应商对系统业务对接现状和数据对接现状的阐述进行综合比较。</w:t>
            </w:r>
            <w:r>
              <w:rPr>
                <w:rFonts w:ascii="宋体" w:hAnsi="宋体"/>
                <w:kern w:val="0"/>
                <w:highlight w:val="none"/>
              </w:rPr>
              <w:t>优5分，良3分，一般1分</w:t>
            </w:r>
            <w:r>
              <w:rPr>
                <w:rFonts w:hint="eastAsia" w:ascii="宋体" w:hAnsi="宋体"/>
                <w:kern w:val="0"/>
                <w:highlight w:val="none"/>
              </w:rPr>
              <w:t>，不提供不得分</w:t>
            </w:r>
            <w:r>
              <w:rPr>
                <w:rFonts w:ascii="宋体" w:hAnsi="宋体"/>
                <w:kern w:val="0"/>
                <w:highlight w:val="none"/>
              </w:rPr>
              <w:t>。</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786" w:hRule="atLeast"/>
          <w:jc w:val="center"/>
        </w:trPr>
        <w:tc>
          <w:tcPr>
            <w:tcW w:w="1315" w:type="dxa"/>
            <w:vMerge w:val="restart"/>
            <w:noWrap w:val="0"/>
            <w:vAlign w:val="center"/>
          </w:tcPr>
          <w:p>
            <w:pPr>
              <w:widowControl/>
              <w:jc w:val="center"/>
              <w:rPr>
                <w:rFonts w:ascii="宋体" w:hAnsi="宋体"/>
                <w:kern w:val="0"/>
                <w:highlight w:val="none"/>
              </w:rPr>
            </w:pPr>
            <w:r>
              <w:rPr>
                <w:rFonts w:ascii="宋体" w:hAnsi="宋体"/>
                <w:kern w:val="0"/>
                <w:highlight w:val="none"/>
              </w:rPr>
              <w:t>商务部分</w:t>
            </w:r>
          </w:p>
          <w:p>
            <w:pPr>
              <w:widowControl/>
              <w:jc w:val="center"/>
              <w:rPr>
                <w:rFonts w:ascii="宋体" w:hAnsi="宋体"/>
                <w:kern w:val="0"/>
                <w:highlight w:val="none"/>
              </w:rPr>
            </w:pPr>
            <w:r>
              <w:rPr>
                <w:rFonts w:ascii="宋体" w:hAnsi="宋体"/>
                <w:kern w:val="0"/>
                <w:highlight w:val="none"/>
              </w:rPr>
              <w:t>（权重40%）</w:t>
            </w:r>
          </w:p>
        </w:tc>
        <w:tc>
          <w:tcPr>
            <w:tcW w:w="2061" w:type="dxa"/>
            <w:noWrap w:val="0"/>
            <w:vAlign w:val="center"/>
          </w:tcPr>
          <w:p>
            <w:pPr>
              <w:jc w:val="center"/>
              <w:rPr>
                <w:rFonts w:ascii="宋体" w:hAnsi="宋体"/>
                <w:kern w:val="0"/>
                <w:highlight w:val="none"/>
              </w:rPr>
            </w:pPr>
            <w:r>
              <w:rPr>
                <w:rFonts w:ascii="宋体" w:hAnsi="宋体"/>
                <w:kern w:val="0"/>
                <w:highlight w:val="none"/>
              </w:rPr>
              <w:t>标书质量</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3</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根据投标文件的印刷装订质量，内容一致完整性，是否有目录，佐证材料是否有效充分等综合评定。优3分，良2分，一般1分</w:t>
            </w:r>
            <w:r>
              <w:rPr>
                <w:rFonts w:hint="eastAsia" w:ascii="宋体" w:hAnsi="宋体"/>
                <w:kern w:val="0"/>
                <w:highlight w:val="none"/>
              </w:rPr>
              <w:t>，不提供不得分</w:t>
            </w:r>
            <w:r>
              <w:rPr>
                <w:rFonts w:ascii="宋体" w:hAnsi="宋体"/>
                <w:kern w:val="0"/>
                <w:highlight w:val="none"/>
              </w:rPr>
              <w:t>。</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569" w:hRule="atLeast"/>
          <w:jc w:val="center"/>
        </w:trPr>
        <w:tc>
          <w:tcPr>
            <w:tcW w:w="1315" w:type="dxa"/>
            <w:vMerge w:val="continue"/>
            <w:noWrap w:val="0"/>
            <w:vAlign w:val="center"/>
          </w:tcPr>
          <w:p>
            <w:pPr>
              <w:widowControl/>
              <w:jc w:val="center"/>
              <w:rPr>
                <w:rFonts w:ascii="宋体" w:hAnsi="宋体"/>
                <w:kern w:val="0"/>
                <w:highlight w:val="none"/>
              </w:rPr>
            </w:pPr>
          </w:p>
        </w:tc>
        <w:tc>
          <w:tcPr>
            <w:tcW w:w="2061" w:type="dxa"/>
            <w:noWrap w:val="0"/>
            <w:vAlign w:val="center"/>
          </w:tcPr>
          <w:p>
            <w:pPr>
              <w:jc w:val="center"/>
              <w:rPr>
                <w:rFonts w:ascii="宋体" w:hAnsi="宋体"/>
                <w:kern w:val="0"/>
                <w:highlight w:val="none"/>
              </w:rPr>
            </w:pPr>
            <w:r>
              <w:rPr>
                <w:rFonts w:ascii="宋体" w:hAnsi="宋体"/>
                <w:kern w:val="0"/>
                <w:highlight w:val="none"/>
              </w:rPr>
              <w:t>供应商综合实力</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7</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根据供应商的公司简介，完成本项目优势，财务报表和荣誉证书等综合比较，优7分，良5分，一般3分</w:t>
            </w:r>
            <w:r>
              <w:rPr>
                <w:rFonts w:hint="eastAsia" w:ascii="宋体" w:hAnsi="宋体"/>
                <w:kern w:val="0"/>
                <w:highlight w:val="none"/>
              </w:rPr>
              <w:t>，不提供不得分</w:t>
            </w:r>
            <w:r>
              <w:rPr>
                <w:rFonts w:ascii="宋体" w:hAnsi="宋体"/>
                <w:kern w:val="0"/>
                <w:highlight w:val="none"/>
              </w:rPr>
              <w:t>。</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1112" w:hRule="atLeast"/>
          <w:jc w:val="center"/>
        </w:trPr>
        <w:tc>
          <w:tcPr>
            <w:tcW w:w="1315" w:type="dxa"/>
            <w:vMerge w:val="continue"/>
            <w:noWrap w:val="0"/>
            <w:vAlign w:val="center"/>
          </w:tcPr>
          <w:p>
            <w:pPr>
              <w:widowControl/>
              <w:jc w:val="center"/>
              <w:rPr>
                <w:rFonts w:ascii="宋体" w:hAnsi="宋体"/>
                <w:kern w:val="0"/>
                <w:highlight w:val="none"/>
              </w:rPr>
            </w:pPr>
          </w:p>
        </w:tc>
        <w:tc>
          <w:tcPr>
            <w:tcW w:w="2061" w:type="dxa"/>
            <w:noWrap w:val="0"/>
            <w:vAlign w:val="center"/>
          </w:tcPr>
          <w:p>
            <w:pPr>
              <w:jc w:val="center"/>
              <w:rPr>
                <w:rFonts w:ascii="宋体" w:hAnsi="宋体"/>
                <w:kern w:val="0"/>
                <w:highlight w:val="none"/>
              </w:rPr>
            </w:pPr>
            <w:r>
              <w:rPr>
                <w:rFonts w:ascii="宋体" w:hAnsi="宋体"/>
                <w:kern w:val="0"/>
                <w:highlight w:val="none"/>
              </w:rPr>
              <w:t>同类业绩</w:t>
            </w:r>
          </w:p>
        </w:tc>
        <w:tc>
          <w:tcPr>
            <w:tcW w:w="1199" w:type="dxa"/>
            <w:noWrap w:val="0"/>
            <w:vAlign w:val="center"/>
          </w:tcPr>
          <w:p>
            <w:pPr>
              <w:widowControl/>
              <w:jc w:val="center"/>
              <w:rPr>
                <w:rFonts w:ascii="宋体" w:hAnsi="宋体"/>
                <w:kern w:val="0"/>
                <w:highlight w:val="none"/>
              </w:rPr>
            </w:pPr>
            <w:r>
              <w:rPr>
                <w:rFonts w:hint="eastAsia" w:ascii="宋体" w:hAnsi="宋体"/>
                <w:kern w:val="0"/>
                <w:highlight w:val="none"/>
              </w:rPr>
              <w:t>20</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根据供应商近三年内同类项目的业绩经验、合作成效进行综合比较打分。优</w:t>
            </w:r>
            <w:r>
              <w:rPr>
                <w:rFonts w:hint="eastAsia" w:ascii="宋体" w:hAnsi="宋体"/>
                <w:kern w:val="0"/>
                <w:highlight w:val="none"/>
              </w:rPr>
              <w:t>20</w:t>
            </w:r>
            <w:r>
              <w:rPr>
                <w:rFonts w:ascii="宋体" w:hAnsi="宋体"/>
                <w:kern w:val="0"/>
                <w:highlight w:val="none"/>
              </w:rPr>
              <w:t>分，良</w:t>
            </w:r>
            <w:r>
              <w:rPr>
                <w:rFonts w:hint="eastAsia" w:ascii="宋体" w:hAnsi="宋体"/>
                <w:kern w:val="0"/>
                <w:highlight w:val="none"/>
              </w:rPr>
              <w:t>13</w:t>
            </w:r>
            <w:r>
              <w:rPr>
                <w:rFonts w:ascii="宋体" w:hAnsi="宋体"/>
                <w:kern w:val="0"/>
                <w:highlight w:val="none"/>
              </w:rPr>
              <w:t>分，一般</w:t>
            </w:r>
            <w:r>
              <w:rPr>
                <w:rFonts w:hint="eastAsia" w:ascii="宋体" w:hAnsi="宋体"/>
                <w:kern w:val="0"/>
                <w:highlight w:val="none"/>
              </w:rPr>
              <w:t>7</w:t>
            </w:r>
            <w:r>
              <w:rPr>
                <w:rFonts w:ascii="宋体" w:hAnsi="宋体"/>
                <w:kern w:val="0"/>
                <w:highlight w:val="none"/>
              </w:rPr>
              <w:t>分。</w:t>
            </w:r>
          </w:p>
          <w:p>
            <w:pPr>
              <w:widowControl/>
              <w:jc w:val="left"/>
              <w:rPr>
                <w:rFonts w:ascii="宋体" w:hAnsi="宋体"/>
                <w:kern w:val="0"/>
                <w:highlight w:val="none"/>
              </w:rPr>
            </w:pPr>
            <w:r>
              <w:rPr>
                <w:rFonts w:ascii="宋体" w:hAnsi="宋体"/>
                <w:kern w:val="0"/>
                <w:highlight w:val="none"/>
              </w:rPr>
              <w:t>须提供业绩列表及合同或中标通知书或成交通知书等复印件，不提供不得分。</w:t>
            </w:r>
          </w:p>
        </w:tc>
        <w:tc>
          <w:tcPr>
            <w:tcW w:w="1326" w:type="dxa"/>
            <w:noWrap w:val="0"/>
            <w:vAlign w:val="center"/>
          </w:tcPr>
          <w:p>
            <w:pPr>
              <w:jc w:val="center"/>
              <w:rPr>
                <w:rFonts w:ascii="宋体" w:hAnsi="宋体"/>
                <w:kern w:val="0"/>
                <w:highlight w:val="none"/>
              </w:rPr>
            </w:pPr>
          </w:p>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cantSplit/>
          <w:trHeight w:val="772" w:hRule="atLeast"/>
          <w:jc w:val="center"/>
        </w:trPr>
        <w:tc>
          <w:tcPr>
            <w:tcW w:w="1315" w:type="dxa"/>
            <w:vMerge w:val="continue"/>
            <w:noWrap w:val="0"/>
            <w:vAlign w:val="center"/>
          </w:tcPr>
          <w:p>
            <w:pPr>
              <w:widowControl/>
              <w:jc w:val="center"/>
              <w:rPr>
                <w:rFonts w:ascii="宋体" w:hAnsi="宋体"/>
                <w:kern w:val="0"/>
                <w:highlight w:val="none"/>
              </w:rPr>
            </w:pPr>
          </w:p>
        </w:tc>
        <w:tc>
          <w:tcPr>
            <w:tcW w:w="2061" w:type="dxa"/>
            <w:noWrap w:val="0"/>
            <w:vAlign w:val="center"/>
          </w:tcPr>
          <w:p>
            <w:pPr>
              <w:jc w:val="center"/>
              <w:rPr>
                <w:rFonts w:ascii="宋体" w:hAnsi="宋体"/>
                <w:kern w:val="0"/>
                <w:highlight w:val="none"/>
              </w:rPr>
            </w:pPr>
            <w:r>
              <w:rPr>
                <w:rFonts w:ascii="宋体" w:hAnsi="宋体"/>
                <w:kern w:val="0"/>
                <w:highlight w:val="none"/>
              </w:rPr>
              <w:t>服务承诺</w:t>
            </w:r>
          </w:p>
        </w:tc>
        <w:tc>
          <w:tcPr>
            <w:tcW w:w="1199" w:type="dxa"/>
            <w:noWrap w:val="0"/>
            <w:vAlign w:val="center"/>
          </w:tcPr>
          <w:p>
            <w:pPr>
              <w:widowControl/>
              <w:jc w:val="center"/>
              <w:rPr>
                <w:rFonts w:ascii="宋体" w:hAnsi="宋体"/>
                <w:kern w:val="0"/>
                <w:highlight w:val="none"/>
              </w:rPr>
            </w:pPr>
            <w:r>
              <w:rPr>
                <w:rFonts w:ascii="宋体" w:hAnsi="宋体"/>
                <w:kern w:val="0"/>
                <w:highlight w:val="none"/>
              </w:rPr>
              <w:t>10</w:t>
            </w:r>
          </w:p>
        </w:tc>
        <w:tc>
          <w:tcPr>
            <w:tcW w:w="9007" w:type="dxa"/>
            <w:noWrap w:val="0"/>
            <w:vAlign w:val="center"/>
          </w:tcPr>
          <w:p>
            <w:pPr>
              <w:widowControl/>
              <w:jc w:val="left"/>
              <w:rPr>
                <w:rFonts w:ascii="宋体" w:hAnsi="宋体"/>
                <w:kern w:val="0"/>
                <w:highlight w:val="none"/>
              </w:rPr>
            </w:pPr>
            <w:r>
              <w:rPr>
                <w:rFonts w:ascii="宋体" w:hAnsi="宋体"/>
                <w:kern w:val="0"/>
                <w:highlight w:val="none"/>
              </w:rPr>
              <w:t>根据供应商对本项目的服务承诺，保证措施等进行综合比较。优10分，良7分，一般4分</w:t>
            </w:r>
            <w:r>
              <w:rPr>
                <w:rFonts w:hint="eastAsia" w:ascii="宋体" w:hAnsi="宋体"/>
                <w:kern w:val="0"/>
                <w:highlight w:val="none"/>
              </w:rPr>
              <w:t>，不提供不得分</w:t>
            </w:r>
            <w:r>
              <w:rPr>
                <w:rFonts w:ascii="宋体" w:hAnsi="宋体"/>
                <w:kern w:val="0"/>
                <w:highlight w:val="none"/>
              </w:rPr>
              <w:t>。</w:t>
            </w:r>
          </w:p>
        </w:tc>
        <w:tc>
          <w:tcPr>
            <w:tcW w:w="1326" w:type="dxa"/>
            <w:noWrap w:val="0"/>
            <w:vAlign w:val="center"/>
          </w:tcPr>
          <w:p>
            <w:pPr>
              <w:jc w:val="center"/>
              <w:rPr>
                <w:rFonts w:ascii="宋体" w:hAnsi="宋体"/>
                <w:kern w:val="0"/>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wBefore w:w="0" w:type="dxa"/>
          <w:wAfter w:w="0" w:type="dxa"/>
          <w:trHeight w:val="257" w:hRule="atLeast"/>
          <w:jc w:val="center"/>
        </w:trPr>
        <w:tc>
          <w:tcPr>
            <w:tcW w:w="13582" w:type="dxa"/>
            <w:gridSpan w:val="4"/>
            <w:noWrap w:val="0"/>
            <w:vAlign w:val="center"/>
          </w:tcPr>
          <w:p>
            <w:pPr>
              <w:widowControl/>
              <w:jc w:val="center"/>
              <w:rPr>
                <w:rFonts w:ascii="宋体" w:hAnsi="宋体"/>
                <w:color w:val="000000"/>
                <w:kern w:val="0"/>
                <w:highlight w:val="none"/>
              </w:rPr>
            </w:pPr>
            <w:r>
              <w:rPr>
                <w:rFonts w:ascii="宋体" w:hAnsi="宋体"/>
                <w:color w:val="000000"/>
                <w:kern w:val="0"/>
                <w:highlight w:val="none"/>
              </w:rPr>
              <w:t>合  计</w:t>
            </w:r>
          </w:p>
        </w:tc>
        <w:tc>
          <w:tcPr>
            <w:tcW w:w="1326" w:type="dxa"/>
            <w:noWrap w:val="0"/>
            <w:vAlign w:val="center"/>
          </w:tcPr>
          <w:p>
            <w:pPr>
              <w:jc w:val="center"/>
              <w:rPr>
                <w:rFonts w:ascii="宋体" w:hAnsi="宋体"/>
                <w:kern w:val="0"/>
                <w:highlight w:val="none"/>
              </w:rPr>
            </w:pPr>
          </w:p>
          <w:p>
            <w:pPr>
              <w:rPr>
                <w:rFonts w:ascii="宋体" w:hAnsi="宋体"/>
                <w:kern w:val="0"/>
                <w:highlight w:val="none"/>
              </w:rPr>
            </w:pPr>
          </w:p>
        </w:tc>
      </w:tr>
    </w:tbl>
    <w:p>
      <w:pPr>
        <w:ind w:firstLine="210" w:firstLineChars="100"/>
        <w:rPr>
          <w:rFonts w:hint="eastAsia"/>
          <w:highlight w:val="none"/>
        </w:rPr>
      </w:pPr>
    </w:p>
    <w:p>
      <w:pPr>
        <w:ind w:firstLine="210" w:firstLineChars="100"/>
        <w:rPr>
          <w:highlight w:val="none"/>
        </w:rPr>
      </w:pPr>
      <w:r>
        <w:rPr>
          <w:rFonts w:hint="eastAsia"/>
          <w:highlight w:val="none"/>
        </w:rPr>
        <w:t>评审人员签名：</w:t>
      </w:r>
    </w:p>
    <w:sectPr>
      <w:pgSz w:w="16838" w:h="11906" w:orient="landscape"/>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6020202030204"/>
    <w:charset w:val="01"/>
    <w:family w:val="swiss"/>
    <w:pitch w:val="default"/>
    <w:sig w:usb0="00000287" w:usb1="00000800" w:usb2="00000000" w:usb3="00000000" w:csb0="2000009F" w:csb1="DFD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ZiZmY1NDM5MDVmNjQxOWNiMDI1YzhiYzRkMDU5OTEifQ=="/>
  </w:docVars>
  <w:rsids>
    <w:rsidRoot w:val="00EC5CCF"/>
    <w:rsid w:val="000201AB"/>
    <w:rsid w:val="000B7696"/>
    <w:rsid w:val="001B6405"/>
    <w:rsid w:val="00291DF8"/>
    <w:rsid w:val="007041E2"/>
    <w:rsid w:val="007A71AF"/>
    <w:rsid w:val="0091025C"/>
    <w:rsid w:val="00910983"/>
    <w:rsid w:val="00937203"/>
    <w:rsid w:val="00961FBC"/>
    <w:rsid w:val="00A24B3D"/>
    <w:rsid w:val="00C860E7"/>
    <w:rsid w:val="00CC7C71"/>
    <w:rsid w:val="00EC5CCF"/>
    <w:rsid w:val="00F85E4E"/>
    <w:rsid w:val="17CB14D4"/>
    <w:rsid w:val="23CD49E2"/>
    <w:rsid w:val="2FF32E3A"/>
    <w:rsid w:val="50C667E3"/>
    <w:rsid w:val="6E97E6EE"/>
    <w:rsid w:val="A7DE8470"/>
    <w:rsid w:val="BDF7C709"/>
    <w:rsid w:val="EEF713D3"/>
    <w:rsid w:val="EFFF79DF"/>
    <w:rsid w:val="FDFF3F3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kern w:val="2"/>
      <w:sz w:val="21"/>
      <w:szCs w:val="21"/>
      <w:lang w:val="en-US" w:eastAsia="zh-CN" w:bidi="ar-SA"/>
    </w:rPr>
  </w:style>
  <w:style w:type="character" w:default="1" w:styleId="5">
    <w:name w:val="Default Paragraph Font"/>
    <w:unhideWhenUsed/>
    <w:uiPriority w:val="1"/>
  </w:style>
  <w:style w:type="table" w:default="1" w:styleId="4">
    <w:name w:val="Normal Table"/>
    <w:unhideWhenUsed/>
    <w:uiPriority w:val="99"/>
    <w:tblPr>
      <w:tblStyle w:val="4"/>
      <w:tblCellMar>
        <w:top w:w="0" w:type="dxa"/>
        <w:left w:w="108" w:type="dxa"/>
        <w:bottom w:w="0" w:type="dxa"/>
        <w:right w:w="108" w:type="dxa"/>
      </w:tblCellMar>
    </w:tblPr>
  </w:style>
  <w:style w:type="paragraph" w:styleId="2">
    <w:name w:val="footer"/>
    <w:basedOn w:val="1"/>
    <w:link w:val="6"/>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link w:val="2"/>
    <w:uiPriority w:val="99"/>
    <w:rPr>
      <w:sz w:val="18"/>
      <w:szCs w:val="18"/>
    </w:rPr>
  </w:style>
  <w:style w:type="character" w:customStyle="1" w:styleId="7">
    <w:name w:val="页眉 Char"/>
    <w:link w:val="3"/>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Pages>
  <Words>107</Words>
  <Characters>616</Characters>
  <Lines>5</Lines>
  <Paragraphs>1</Paragraphs>
  <TotalTime>22.6666666666667</TotalTime>
  <ScaleCrop>false</ScaleCrop>
  <LinksUpToDate>false</LinksUpToDate>
  <CharactersWithSpaces>722</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2021-08-08T11:26:00Z</dcterms:created>
  <dc:creator>张海盈</dc:creator>
  <cp:lastModifiedBy>greatwall</cp:lastModifiedBy>
  <dcterms:modified xsi:type="dcterms:W3CDTF">2025-12-03T09:12:50Z</dcterms:modified>
  <dc:title>附件2</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49475C21E617485F82A533B183CA1227_12</vt:lpwstr>
  </property>
</Properties>
</file>