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  <w:lang w:val="zh-CN"/>
        </w:rPr>
        <w:t>江门市市场监督管理局开展辅助完成商标业务受理工作项目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综合评分表</w:t>
      </w:r>
    </w:p>
    <w:p>
      <w:pPr>
        <w:spacing w:line="1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068"/>
        <w:gridCol w:w="9639"/>
        <w:gridCol w:w="8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74" w:hRule="atLeast"/>
          <w:tblHeader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评审项目分值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分值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评审标准分值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投标报价</w:t>
            </w:r>
          </w:p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（权重20%）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技术部分</w:t>
            </w:r>
          </w:p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对本项目总体理解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根据供应商对项目的认识及理解、对项目重点、难点分析把握，进行综合比较。优5分，良3分，一般1分，不提供不得分。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供应商相关资质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根据供应商资质证书、投入本项目人员设备等综合比较。优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7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服务方案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商务部分</w:t>
            </w:r>
          </w:p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标书质量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分，一般1分。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供应商综合实力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7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同类业绩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根据供应商近三年内同类项目的业绩经验、合作成效进行综合比较打分。优15分，良10分，一般5分。</w:t>
            </w:r>
          </w:p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须提供业绩列表及合同或中标通知书或成交通知书等复印件，不提供不得分。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服务承诺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根据供应商对本项目的服务承诺，保证措施等进行综合比较。优10分，良7分，一般4分，不提供不得分。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083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评审人员签名：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5748"/>
    <w:rsid w:val="001F2A04"/>
    <w:rsid w:val="003C21EA"/>
    <w:rsid w:val="0FAE7FC7"/>
    <w:rsid w:val="5E5BD691"/>
    <w:rsid w:val="64F76B0D"/>
    <w:rsid w:val="8DFFACD0"/>
    <w:rsid w:val="AF7FF67F"/>
    <w:rsid w:val="BDB91A5F"/>
    <w:rsid w:val="BFF725D2"/>
    <w:rsid w:val="D7FF5748"/>
    <w:rsid w:val="F7D3FD72"/>
    <w:rsid w:val="FD9E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2023-12-07T17:59:00Z</dcterms:created>
  <dc:creator>uos</dc:creator>
  <cp:lastModifiedBy>greatwall</cp:lastModifiedBy>
  <dcterms:modified xsi:type="dcterms:W3CDTF">2025-11-21T08:31:31Z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C9F1F95E77B98748AC098565276D6F26</vt:lpwstr>
  </property>
</Properties>
</file>