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0E2A2">
      <w:pPr>
        <w:spacing w:line="50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7A3AEBC6">
      <w:pPr>
        <w:snapToGrid w:val="0"/>
        <w:spacing w:line="560" w:lineRule="exact"/>
        <w:jc w:val="center"/>
        <w:rPr>
          <w:rFonts w:hint="default" w:ascii="Times New Roman" w:hAnsi="Times New Roman" w:eastAsia="方正大标宋_GBK" w:cs="Times New Roman"/>
          <w:sz w:val="42"/>
          <w:szCs w:val="42"/>
        </w:rPr>
      </w:pPr>
      <w:r>
        <w:rPr>
          <w:rFonts w:hint="default" w:ascii="Times New Roman" w:hAnsi="Times New Roman" w:eastAsia="方正大标宋_GBK" w:cs="Times New Roman"/>
          <w:sz w:val="42"/>
          <w:szCs w:val="42"/>
        </w:rPr>
        <w:t>评分表</w:t>
      </w:r>
    </w:p>
    <w:tbl>
      <w:tblPr>
        <w:tblStyle w:val="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6"/>
        <w:gridCol w:w="691"/>
        <w:gridCol w:w="9040"/>
        <w:gridCol w:w="734"/>
        <w:gridCol w:w="950"/>
        <w:gridCol w:w="952"/>
        <w:gridCol w:w="961"/>
      </w:tblGrid>
      <w:tr w14:paraId="4324D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98" w:type="pct"/>
            <w:tcBorders>
              <w:top w:val="single" w:color="auto" w:sz="12" w:space="0"/>
              <w:left w:val="single" w:color="auto" w:sz="12" w:space="0"/>
              <w:bottom w:val="single" w:color="auto" w:sz="6" w:space="0"/>
              <w:right w:val="single" w:color="auto" w:sz="6" w:space="0"/>
            </w:tcBorders>
            <w:noWrap w:val="0"/>
            <w:vAlign w:val="center"/>
          </w:tcPr>
          <w:p w14:paraId="16993E25">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序号</w:t>
            </w:r>
          </w:p>
        </w:tc>
        <w:tc>
          <w:tcPr>
            <w:tcW w:w="244" w:type="pct"/>
            <w:tcBorders>
              <w:top w:val="single" w:color="auto" w:sz="12" w:space="0"/>
              <w:left w:val="single" w:color="auto" w:sz="6" w:space="0"/>
              <w:bottom w:val="single" w:color="auto" w:sz="6" w:space="0"/>
              <w:right w:val="single" w:color="auto" w:sz="6" w:space="0"/>
            </w:tcBorders>
            <w:noWrap w:val="0"/>
            <w:vAlign w:val="center"/>
          </w:tcPr>
          <w:p w14:paraId="3C18CE4E">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评审</w:t>
            </w:r>
          </w:p>
          <w:p w14:paraId="263C980E">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因素</w:t>
            </w:r>
          </w:p>
        </w:tc>
        <w:tc>
          <w:tcPr>
            <w:tcW w:w="3188" w:type="pct"/>
            <w:tcBorders>
              <w:top w:val="single" w:color="auto" w:sz="12" w:space="0"/>
              <w:left w:val="single" w:color="auto" w:sz="6" w:space="0"/>
              <w:bottom w:val="single" w:color="auto" w:sz="6" w:space="0"/>
              <w:right w:val="single" w:color="auto" w:sz="6" w:space="0"/>
            </w:tcBorders>
            <w:noWrap w:val="0"/>
            <w:vAlign w:val="center"/>
          </w:tcPr>
          <w:p w14:paraId="3E232C13">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评分细则</w:t>
            </w:r>
          </w:p>
        </w:tc>
        <w:tc>
          <w:tcPr>
            <w:tcW w:w="259" w:type="pct"/>
            <w:tcBorders>
              <w:top w:val="single" w:color="auto" w:sz="12" w:space="0"/>
              <w:left w:val="single" w:color="auto" w:sz="6" w:space="0"/>
              <w:bottom w:val="single" w:color="auto" w:sz="6" w:space="0"/>
              <w:right w:val="single" w:color="auto" w:sz="6" w:space="0"/>
            </w:tcBorders>
            <w:noWrap w:val="0"/>
            <w:vAlign w:val="center"/>
          </w:tcPr>
          <w:p w14:paraId="0616E9A7">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分值（分）</w:t>
            </w:r>
          </w:p>
        </w:tc>
        <w:tc>
          <w:tcPr>
            <w:tcW w:w="335" w:type="pct"/>
            <w:tcBorders>
              <w:top w:val="single" w:color="auto" w:sz="12" w:space="0"/>
              <w:left w:val="single" w:color="auto" w:sz="6" w:space="0"/>
              <w:bottom w:val="single" w:color="auto" w:sz="6" w:space="0"/>
              <w:right w:val="single" w:color="auto" w:sz="6" w:space="0"/>
            </w:tcBorders>
            <w:noWrap w:val="0"/>
            <w:vAlign w:val="center"/>
          </w:tcPr>
          <w:p w14:paraId="4FCC113E">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供应商1</w:t>
            </w:r>
          </w:p>
          <w:p w14:paraId="5D1737BE">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得分（分）</w:t>
            </w:r>
          </w:p>
        </w:tc>
        <w:tc>
          <w:tcPr>
            <w:tcW w:w="336" w:type="pct"/>
            <w:tcBorders>
              <w:top w:val="single" w:color="auto" w:sz="12" w:space="0"/>
              <w:left w:val="single" w:color="auto" w:sz="6" w:space="0"/>
              <w:bottom w:val="single" w:color="auto" w:sz="6" w:space="0"/>
              <w:right w:val="single" w:color="auto" w:sz="6" w:space="0"/>
            </w:tcBorders>
            <w:noWrap w:val="0"/>
            <w:vAlign w:val="center"/>
          </w:tcPr>
          <w:p w14:paraId="6E21C510">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供应商2</w:t>
            </w:r>
          </w:p>
          <w:p w14:paraId="62D077AD">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得分（分）</w:t>
            </w:r>
          </w:p>
        </w:tc>
        <w:tc>
          <w:tcPr>
            <w:tcW w:w="335" w:type="pct"/>
            <w:tcBorders>
              <w:top w:val="single" w:color="auto" w:sz="12" w:space="0"/>
              <w:left w:val="single" w:color="auto" w:sz="6" w:space="0"/>
              <w:bottom w:val="single" w:color="auto" w:sz="6" w:space="0"/>
              <w:right w:val="single" w:color="auto" w:sz="6" w:space="0"/>
            </w:tcBorders>
            <w:noWrap w:val="0"/>
            <w:vAlign w:val="center"/>
          </w:tcPr>
          <w:p w14:paraId="1452A158">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供应商3</w:t>
            </w:r>
          </w:p>
          <w:p w14:paraId="37E98AFB">
            <w:pPr>
              <w:autoSpaceDE w:val="0"/>
              <w:autoSpaceDN w:val="0"/>
              <w:adjustRightInd w:val="0"/>
              <w:snapToGrid w:val="0"/>
              <w:spacing w:line="300" w:lineRule="exact"/>
              <w:ind w:left="-78" w:leftChars="-37" w:right="-73" w:rightChars="-35"/>
              <w:jc w:val="center"/>
              <w:rPr>
                <w:rFonts w:hint="default" w:ascii="Times New Roman" w:hAnsi="Times New Roman" w:eastAsia="方正黑体_GBK" w:cs="Times New Roman"/>
                <w:kern w:val="0"/>
                <w:szCs w:val="21"/>
              </w:rPr>
            </w:pPr>
            <w:r>
              <w:rPr>
                <w:rFonts w:hint="default" w:ascii="Times New Roman" w:hAnsi="Times New Roman" w:eastAsia="方正黑体_GBK" w:cs="Times New Roman"/>
                <w:kern w:val="0"/>
                <w:szCs w:val="21"/>
              </w:rPr>
              <w:t>得分（分）</w:t>
            </w:r>
          </w:p>
        </w:tc>
      </w:tr>
      <w:tr w14:paraId="7E53C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12" w:space="0"/>
              <w:left w:val="single" w:color="auto" w:sz="12" w:space="0"/>
              <w:bottom w:val="single" w:color="auto" w:sz="6" w:space="0"/>
              <w:right w:val="single" w:color="auto" w:sz="6" w:space="0"/>
            </w:tcBorders>
            <w:noWrap w:val="0"/>
            <w:vAlign w:val="center"/>
          </w:tcPr>
          <w:p w14:paraId="508E2CDB">
            <w:pPr>
              <w:autoSpaceDE w:val="0"/>
              <w:autoSpaceDN w:val="0"/>
              <w:adjustRightInd w:val="0"/>
              <w:snapToGrid w:val="0"/>
              <w:spacing w:line="300" w:lineRule="exact"/>
              <w:ind w:left="-78" w:leftChars="-37" w:right="-73" w:rightChars="-35"/>
              <w:jc w:val="center"/>
              <w:rPr>
                <w:rFonts w:hint="default" w:ascii="Times New Roman" w:hAnsi="Times New Roman" w:eastAsia="黑体" w:cs="Times New Roman"/>
                <w:kern w:val="0"/>
                <w:szCs w:val="21"/>
                <w:highlight w:val="none"/>
              </w:rPr>
            </w:pPr>
            <w:r>
              <w:rPr>
                <w:rFonts w:hint="default" w:ascii="Times New Roman" w:hAnsi="Times New Roman" w:eastAsia="黑体" w:cs="Times New Roman"/>
                <w:kern w:val="0"/>
                <w:szCs w:val="21"/>
                <w:highlight w:val="none"/>
              </w:rPr>
              <w:t>一、技术部分（</w:t>
            </w:r>
            <w:r>
              <w:rPr>
                <w:rFonts w:hint="eastAsia" w:ascii="Times New Roman" w:hAnsi="Times New Roman" w:eastAsia="黑体" w:cs="Times New Roman"/>
                <w:kern w:val="0"/>
                <w:szCs w:val="21"/>
                <w:highlight w:val="none"/>
                <w:lang w:val="en-US" w:eastAsia="zh-CN"/>
              </w:rPr>
              <w:t>30</w:t>
            </w:r>
            <w:r>
              <w:rPr>
                <w:rFonts w:hint="default" w:ascii="Times New Roman" w:hAnsi="Times New Roman" w:eastAsia="黑体" w:cs="Times New Roman"/>
                <w:kern w:val="0"/>
                <w:szCs w:val="21"/>
                <w:highlight w:val="none"/>
              </w:rPr>
              <w:t>分）</w:t>
            </w:r>
          </w:p>
        </w:tc>
      </w:tr>
      <w:tr w14:paraId="3DF4E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noWrap w:val="0"/>
            <w:vAlign w:val="center"/>
          </w:tcPr>
          <w:p w14:paraId="6D248D08">
            <w:pPr>
              <w:autoSpaceDE w:val="0"/>
              <w:autoSpaceDN w:val="0"/>
              <w:adjustRightInd w:val="0"/>
              <w:snapToGrid w:val="0"/>
              <w:spacing w:line="300" w:lineRule="exact"/>
              <w:jc w:val="center"/>
              <w:rPr>
                <w:rFonts w:hint="default" w:ascii="Times New Roman" w:hAnsi="Times New Roman" w:eastAsia="方正仿宋_GBK" w:cs="Times New Roman"/>
                <w:bCs/>
                <w:szCs w:val="21"/>
              </w:rPr>
            </w:pPr>
            <w:r>
              <w:rPr>
                <w:rFonts w:hint="default" w:ascii="Times New Roman" w:hAnsi="Times New Roman" w:eastAsia="方正仿宋_GBK" w:cs="Times New Roman"/>
                <w:bCs/>
                <w:szCs w:val="21"/>
              </w:rPr>
              <w:t>（一）</w:t>
            </w:r>
          </w:p>
        </w:tc>
        <w:tc>
          <w:tcPr>
            <w:tcW w:w="244" w:type="pct"/>
            <w:tcBorders>
              <w:top w:val="single" w:color="auto" w:sz="6" w:space="0"/>
              <w:left w:val="single" w:color="auto" w:sz="6" w:space="0"/>
              <w:bottom w:val="single" w:color="auto" w:sz="6" w:space="0"/>
              <w:right w:val="single" w:color="auto" w:sz="6" w:space="0"/>
            </w:tcBorders>
            <w:noWrap w:val="0"/>
            <w:vAlign w:val="center"/>
          </w:tcPr>
          <w:p w14:paraId="429806E7">
            <w:pPr>
              <w:spacing w:line="3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实施方案</w:t>
            </w:r>
          </w:p>
        </w:tc>
        <w:tc>
          <w:tcPr>
            <w:tcW w:w="3188" w:type="pct"/>
            <w:tcBorders>
              <w:top w:val="single" w:color="auto" w:sz="6" w:space="0"/>
              <w:left w:val="single" w:color="auto" w:sz="6" w:space="0"/>
              <w:bottom w:val="single" w:color="auto" w:sz="6" w:space="0"/>
              <w:right w:val="single" w:color="auto" w:sz="6" w:space="0"/>
            </w:tcBorders>
            <w:noWrap w:val="0"/>
            <w:vAlign w:val="center"/>
          </w:tcPr>
          <w:p w14:paraId="697A321C">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根据供应商针对本项目的实施方案进行评审：</w:t>
            </w:r>
          </w:p>
          <w:p w14:paraId="40B5272D">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1.对项目背景、工作目标及工作内容的理解和认识准确、深入，项目实施方案完整详细、科学合理、可行性强，有针对性，响应情况满足或优于采购文件要求的，得20分；</w:t>
            </w:r>
          </w:p>
          <w:p w14:paraId="07E4CFCF">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2.对项目背景、工作目标及工作内容的理解和认识准确，项目实施方案详细、合理、具有一定的可行性，响应情况大部分能满足采购文件要求的，得15分；</w:t>
            </w:r>
          </w:p>
          <w:p w14:paraId="7095B9B4">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3.基本理解和认识项目背景、工作目标及工作内容，项目实施方案完整、但可行性不足，响应情况部分能满足采购文件要求，得10分；</w:t>
            </w:r>
          </w:p>
          <w:p w14:paraId="15FF6452">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4.未能全面理解和认识项目背景、工作目标及工作内容，项目实施方案不详细，响应情况不能满足采购文件要求，得5分；</w:t>
            </w:r>
          </w:p>
          <w:p w14:paraId="623250BC">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5.未提交响应内容或其他情况，不得分。</w:t>
            </w:r>
          </w:p>
        </w:tc>
        <w:tc>
          <w:tcPr>
            <w:tcW w:w="259" w:type="pct"/>
            <w:tcBorders>
              <w:top w:val="single" w:color="auto" w:sz="6" w:space="0"/>
              <w:left w:val="single" w:color="auto" w:sz="6" w:space="0"/>
              <w:bottom w:val="single" w:color="auto" w:sz="6" w:space="0"/>
              <w:right w:val="single" w:color="auto" w:sz="6" w:space="0"/>
            </w:tcBorders>
            <w:noWrap w:val="0"/>
            <w:vAlign w:val="center"/>
          </w:tcPr>
          <w:p w14:paraId="265F605A">
            <w:pPr>
              <w:autoSpaceDE w:val="0"/>
              <w:autoSpaceDN w:val="0"/>
              <w:adjustRightInd w:val="0"/>
              <w:snapToGrid w:val="0"/>
              <w:spacing w:line="300" w:lineRule="exact"/>
              <w:jc w:val="center"/>
              <w:rPr>
                <w:rFonts w:hint="default" w:ascii="Times New Roman" w:hAnsi="Times New Roman" w:eastAsia="方正仿宋_GBK" w:cs="Times New Roman"/>
                <w:bCs/>
                <w:kern w:val="0"/>
                <w:szCs w:val="21"/>
              </w:rPr>
            </w:pPr>
            <w:r>
              <w:rPr>
                <w:rFonts w:hint="default" w:ascii="Times New Roman" w:hAnsi="Times New Roman" w:eastAsia="方正仿宋_GBK" w:cs="Times New Roman"/>
                <w:bCs/>
                <w:kern w:val="0"/>
                <w:szCs w:val="21"/>
              </w:rPr>
              <w:t>20</w:t>
            </w:r>
          </w:p>
        </w:tc>
        <w:tc>
          <w:tcPr>
            <w:tcW w:w="335" w:type="pct"/>
            <w:tcBorders>
              <w:top w:val="single" w:color="auto" w:sz="6" w:space="0"/>
              <w:left w:val="single" w:color="auto" w:sz="6" w:space="0"/>
              <w:bottom w:val="single" w:color="auto" w:sz="6" w:space="0"/>
              <w:right w:val="single" w:color="auto" w:sz="6" w:space="0"/>
            </w:tcBorders>
            <w:noWrap w:val="0"/>
            <w:vAlign w:val="top"/>
          </w:tcPr>
          <w:p w14:paraId="2E4AF34D">
            <w:pPr>
              <w:autoSpaceDE w:val="0"/>
              <w:autoSpaceDN w:val="0"/>
              <w:adjustRightInd w:val="0"/>
              <w:snapToGrid w:val="0"/>
              <w:spacing w:line="300" w:lineRule="exact"/>
              <w:jc w:val="center"/>
              <w:rPr>
                <w:rFonts w:hint="default" w:ascii="Times New Roman" w:hAnsi="Times New Roman" w:eastAsia="方正仿宋_GBK" w:cs="Times New Roman"/>
                <w:kern w:val="0"/>
                <w:szCs w:val="21"/>
              </w:rPr>
            </w:pPr>
          </w:p>
        </w:tc>
        <w:tc>
          <w:tcPr>
            <w:tcW w:w="336" w:type="pct"/>
            <w:tcBorders>
              <w:top w:val="single" w:color="auto" w:sz="6" w:space="0"/>
              <w:left w:val="single" w:color="auto" w:sz="6" w:space="0"/>
              <w:bottom w:val="single" w:color="auto" w:sz="6" w:space="0"/>
              <w:right w:val="single" w:color="auto" w:sz="6" w:space="0"/>
            </w:tcBorders>
            <w:noWrap w:val="0"/>
            <w:vAlign w:val="top"/>
          </w:tcPr>
          <w:p w14:paraId="63B5E151">
            <w:pPr>
              <w:autoSpaceDE w:val="0"/>
              <w:autoSpaceDN w:val="0"/>
              <w:adjustRightInd w:val="0"/>
              <w:snapToGrid w:val="0"/>
              <w:spacing w:line="300" w:lineRule="exact"/>
              <w:jc w:val="center"/>
              <w:rPr>
                <w:rFonts w:hint="default" w:ascii="Times New Roman" w:hAnsi="Times New Roman" w:eastAsia="方正仿宋_GBK" w:cs="Times New Roman"/>
                <w:kern w:val="0"/>
                <w:szCs w:val="21"/>
              </w:rPr>
            </w:pPr>
          </w:p>
        </w:tc>
        <w:tc>
          <w:tcPr>
            <w:tcW w:w="335" w:type="pct"/>
            <w:tcBorders>
              <w:top w:val="single" w:color="auto" w:sz="6" w:space="0"/>
              <w:left w:val="single" w:color="auto" w:sz="6" w:space="0"/>
              <w:bottom w:val="single" w:color="auto" w:sz="6" w:space="0"/>
              <w:right w:val="single" w:color="auto" w:sz="6" w:space="0"/>
            </w:tcBorders>
            <w:noWrap w:val="0"/>
            <w:vAlign w:val="top"/>
          </w:tcPr>
          <w:p w14:paraId="09AEFD88">
            <w:pPr>
              <w:autoSpaceDE w:val="0"/>
              <w:autoSpaceDN w:val="0"/>
              <w:adjustRightInd w:val="0"/>
              <w:snapToGrid w:val="0"/>
              <w:spacing w:line="300" w:lineRule="exact"/>
              <w:jc w:val="center"/>
              <w:rPr>
                <w:rFonts w:hint="default" w:ascii="Times New Roman" w:hAnsi="Times New Roman" w:eastAsia="方正仿宋_GBK" w:cs="Times New Roman"/>
                <w:kern w:val="0"/>
                <w:szCs w:val="21"/>
              </w:rPr>
            </w:pPr>
          </w:p>
        </w:tc>
      </w:tr>
      <w:tr w14:paraId="1497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noWrap w:val="0"/>
            <w:vAlign w:val="center"/>
          </w:tcPr>
          <w:p w14:paraId="4625D109">
            <w:pPr>
              <w:autoSpaceDE w:val="0"/>
              <w:autoSpaceDN w:val="0"/>
              <w:adjustRightInd w:val="0"/>
              <w:snapToGrid w:val="0"/>
              <w:spacing w:line="300" w:lineRule="exact"/>
              <w:jc w:val="center"/>
              <w:rPr>
                <w:rFonts w:hint="default" w:ascii="Times New Roman" w:hAnsi="Times New Roman" w:eastAsia="方正仿宋_GBK" w:cs="Times New Roman"/>
                <w:bCs/>
                <w:szCs w:val="21"/>
                <w:highlight w:val="none"/>
              </w:rPr>
            </w:pPr>
            <w:r>
              <w:rPr>
                <w:rFonts w:hint="default" w:ascii="Times New Roman" w:hAnsi="Times New Roman" w:eastAsia="方正仿宋_GBK" w:cs="Times New Roman"/>
                <w:bCs/>
                <w:szCs w:val="21"/>
                <w:highlight w:val="none"/>
              </w:rPr>
              <w:t>（二）</w:t>
            </w:r>
          </w:p>
        </w:tc>
        <w:tc>
          <w:tcPr>
            <w:tcW w:w="244" w:type="pct"/>
            <w:tcBorders>
              <w:top w:val="single" w:color="auto" w:sz="6" w:space="0"/>
              <w:left w:val="single" w:color="auto" w:sz="6" w:space="0"/>
              <w:bottom w:val="single" w:color="auto" w:sz="6" w:space="0"/>
              <w:right w:val="single" w:color="auto" w:sz="6" w:space="0"/>
            </w:tcBorders>
            <w:noWrap w:val="0"/>
            <w:vAlign w:val="center"/>
          </w:tcPr>
          <w:p w14:paraId="1425258A">
            <w:pPr>
              <w:spacing w:line="300" w:lineRule="exact"/>
              <w:jc w:val="center"/>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质量保证措施</w:t>
            </w:r>
          </w:p>
        </w:tc>
        <w:tc>
          <w:tcPr>
            <w:tcW w:w="3188" w:type="pct"/>
            <w:tcBorders>
              <w:top w:val="single" w:color="auto" w:sz="6" w:space="0"/>
              <w:left w:val="single" w:color="auto" w:sz="6" w:space="0"/>
              <w:bottom w:val="single" w:color="auto" w:sz="6" w:space="0"/>
              <w:right w:val="single" w:color="auto" w:sz="6" w:space="0"/>
            </w:tcBorders>
            <w:noWrap w:val="0"/>
            <w:vAlign w:val="center"/>
          </w:tcPr>
          <w:p w14:paraId="670A0369">
            <w:pPr>
              <w:spacing w:line="300" w:lineRule="exact"/>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根据供应商的成果质量保证措施和进度保障措施是否全面、合理等进行评审：</w:t>
            </w:r>
          </w:p>
          <w:p w14:paraId="5D8BB806">
            <w:pPr>
              <w:spacing w:line="300" w:lineRule="exact"/>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1.项目成果质量保证和进度保障措施全面、合理、得当的，得</w:t>
            </w:r>
            <w:r>
              <w:rPr>
                <w:rFonts w:hint="eastAsia" w:ascii="Times New Roman" w:hAnsi="Times New Roman" w:eastAsia="方正仿宋_GBK" w:cs="Times New Roman"/>
                <w:szCs w:val="21"/>
                <w:highlight w:val="none"/>
                <w:lang w:val="en-US" w:eastAsia="zh-CN"/>
              </w:rPr>
              <w:t>10</w:t>
            </w:r>
            <w:r>
              <w:rPr>
                <w:rFonts w:hint="default" w:ascii="Times New Roman" w:hAnsi="Times New Roman" w:eastAsia="方正仿宋_GBK" w:cs="Times New Roman"/>
                <w:szCs w:val="21"/>
                <w:highlight w:val="none"/>
              </w:rPr>
              <w:t>分；</w:t>
            </w:r>
          </w:p>
          <w:p w14:paraId="048F162A">
            <w:pPr>
              <w:spacing w:line="300" w:lineRule="exact"/>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2.项目成果质量保证和进度保障措施较全面、较合理、较得当的，得</w:t>
            </w:r>
            <w:r>
              <w:rPr>
                <w:rFonts w:hint="default" w:ascii="Times New Roman" w:hAnsi="Times New Roman" w:eastAsia="方正仿宋_GBK" w:cs="Times New Roman"/>
                <w:szCs w:val="21"/>
                <w:highlight w:val="none"/>
                <w:lang w:val="en-US" w:eastAsia="zh-CN"/>
              </w:rPr>
              <w:t>5</w:t>
            </w:r>
            <w:r>
              <w:rPr>
                <w:rFonts w:hint="default" w:ascii="Times New Roman" w:hAnsi="Times New Roman" w:eastAsia="方正仿宋_GBK" w:cs="Times New Roman"/>
                <w:szCs w:val="21"/>
                <w:highlight w:val="none"/>
              </w:rPr>
              <w:t>分；</w:t>
            </w:r>
          </w:p>
          <w:p w14:paraId="2EFF2C4D">
            <w:pPr>
              <w:spacing w:line="300" w:lineRule="exact"/>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3.项目成果质量保证和进度保障措施一般的，得3分；</w:t>
            </w:r>
          </w:p>
          <w:p w14:paraId="3FCD9877">
            <w:pPr>
              <w:spacing w:line="300" w:lineRule="exact"/>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4.没有的不得分。</w:t>
            </w:r>
          </w:p>
        </w:tc>
        <w:tc>
          <w:tcPr>
            <w:tcW w:w="259" w:type="pct"/>
            <w:tcBorders>
              <w:top w:val="single" w:color="auto" w:sz="6" w:space="0"/>
              <w:left w:val="single" w:color="auto" w:sz="6" w:space="0"/>
              <w:bottom w:val="single" w:color="auto" w:sz="6" w:space="0"/>
              <w:right w:val="single" w:color="auto" w:sz="6" w:space="0"/>
            </w:tcBorders>
            <w:noWrap w:val="0"/>
            <w:vAlign w:val="center"/>
          </w:tcPr>
          <w:p w14:paraId="1DE11F08">
            <w:pPr>
              <w:autoSpaceDE w:val="0"/>
              <w:autoSpaceDN w:val="0"/>
              <w:adjustRightInd w:val="0"/>
              <w:snapToGrid w:val="0"/>
              <w:spacing w:line="300" w:lineRule="exact"/>
              <w:jc w:val="center"/>
              <w:rPr>
                <w:rFonts w:hint="default" w:ascii="Times New Roman" w:hAnsi="Times New Roman" w:eastAsia="方正仿宋_GBK" w:cs="Times New Roman"/>
                <w:bCs/>
                <w:kern w:val="0"/>
                <w:szCs w:val="21"/>
                <w:highlight w:val="none"/>
                <w:lang w:val="en-US" w:eastAsia="zh-CN"/>
              </w:rPr>
            </w:pPr>
            <w:r>
              <w:rPr>
                <w:rFonts w:hint="eastAsia" w:ascii="Times New Roman" w:hAnsi="Times New Roman" w:eastAsia="方正仿宋_GBK" w:cs="Times New Roman"/>
                <w:bCs/>
                <w:kern w:val="0"/>
                <w:szCs w:val="21"/>
                <w:highlight w:val="none"/>
                <w:lang w:val="en-US" w:eastAsia="zh-CN"/>
              </w:rPr>
              <w:t>10</w:t>
            </w:r>
          </w:p>
        </w:tc>
        <w:tc>
          <w:tcPr>
            <w:tcW w:w="335" w:type="pct"/>
            <w:tcBorders>
              <w:top w:val="single" w:color="auto" w:sz="6" w:space="0"/>
              <w:left w:val="single" w:color="auto" w:sz="6" w:space="0"/>
              <w:bottom w:val="single" w:color="auto" w:sz="6" w:space="0"/>
              <w:right w:val="single" w:color="auto" w:sz="6" w:space="0"/>
            </w:tcBorders>
            <w:noWrap w:val="0"/>
            <w:vAlign w:val="top"/>
          </w:tcPr>
          <w:p w14:paraId="6F0F3BDF">
            <w:pPr>
              <w:autoSpaceDE w:val="0"/>
              <w:autoSpaceDN w:val="0"/>
              <w:adjustRightInd w:val="0"/>
              <w:snapToGrid w:val="0"/>
              <w:spacing w:line="300" w:lineRule="exact"/>
              <w:jc w:val="center"/>
              <w:rPr>
                <w:rFonts w:hint="default" w:ascii="Times New Roman" w:hAnsi="Times New Roman" w:eastAsia="方正仿宋_GBK" w:cs="Times New Roman"/>
                <w:kern w:val="0"/>
                <w:szCs w:val="21"/>
                <w:highlight w:val="none"/>
              </w:rPr>
            </w:pPr>
          </w:p>
        </w:tc>
        <w:tc>
          <w:tcPr>
            <w:tcW w:w="336" w:type="pct"/>
            <w:tcBorders>
              <w:top w:val="single" w:color="auto" w:sz="6" w:space="0"/>
              <w:left w:val="single" w:color="auto" w:sz="6" w:space="0"/>
              <w:bottom w:val="single" w:color="auto" w:sz="6" w:space="0"/>
              <w:right w:val="single" w:color="auto" w:sz="6" w:space="0"/>
            </w:tcBorders>
            <w:noWrap w:val="0"/>
            <w:vAlign w:val="top"/>
          </w:tcPr>
          <w:p w14:paraId="6AA1C2E6">
            <w:pPr>
              <w:autoSpaceDE w:val="0"/>
              <w:autoSpaceDN w:val="0"/>
              <w:adjustRightInd w:val="0"/>
              <w:snapToGrid w:val="0"/>
              <w:spacing w:line="300" w:lineRule="exact"/>
              <w:jc w:val="center"/>
              <w:rPr>
                <w:rFonts w:hint="default" w:ascii="Times New Roman" w:hAnsi="Times New Roman" w:eastAsia="方正仿宋_GBK" w:cs="Times New Roman"/>
                <w:kern w:val="0"/>
                <w:szCs w:val="21"/>
                <w:highlight w:val="none"/>
              </w:rPr>
            </w:pPr>
          </w:p>
        </w:tc>
        <w:tc>
          <w:tcPr>
            <w:tcW w:w="335" w:type="pct"/>
            <w:tcBorders>
              <w:top w:val="single" w:color="auto" w:sz="6" w:space="0"/>
              <w:left w:val="single" w:color="auto" w:sz="6" w:space="0"/>
              <w:bottom w:val="single" w:color="auto" w:sz="6" w:space="0"/>
              <w:right w:val="single" w:color="auto" w:sz="6" w:space="0"/>
            </w:tcBorders>
            <w:noWrap w:val="0"/>
            <w:vAlign w:val="top"/>
          </w:tcPr>
          <w:p w14:paraId="66FA1986">
            <w:pPr>
              <w:autoSpaceDE w:val="0"/>
              <w:autoSpaceDN w:val="0"/>
              <w:adjustRightInd w:val="0"/>
              <w:snapToGrid w:val="0"/>
              <w:spacing w:line="300" w:lineRule="exact"/>
              <w:jc w:val="center"/>
              <w:rPr>
                <w:rFonts w:hint="default" w:ascii="Times New Roman" w:hAnsi="Times New Roman" w:eastAsia="方正仿宋_GBK" w:cs="Times New Roman"/>
                <w:kern w:val="0"/>
                <w:szCs w:val="21"/>
                <w:highlight w:val="none"/>
              </w:rPr>
            </w:pPr>
          </w:p>
        </w:tc>
      </w:tr>
      <w:tr w14:paraId="724B8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6" w:space="0"/>
              <w:left w:val="single" w:color="auto" w:sz="12" w:space="0"/>
              <w:bottom w:val="single" w:color="auto" w:sz="6" w:space="0"/>
              <w:right w:val="single" w:color="auto" w:sz="6" w:space="0"/>
            </w:tcBorders>
            <w:noWrap w:val="0"/>
            <w:vAlign w:val="center"/>
          </w:tcPr>
          <w:p w14:paraId="342918BF">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二、商务部分（5</w:t>
            </w:r>
            <w:r>
              <w:rPr>
                <w:rFonts w:hint="eastAsia" w:ascii="Times New Roman" w:hAnsi="Times New Roman" w:eastAsia="方正仿宋_GBK" w:cs="Times New Roman"/>
                <w:kern w:val="0"/>
                <w:szCs w:val="21"/>
                <w:lang w:val="en-US" w:eastAsia="zh-CN"/>
              </w:rPr>
              <w:t>0</w:t>
            </w:r>
            <w:r>
              <w:rPr>
                <w:rFonts w:hint="default" w:ascii="Times New Roman" w:hAnsi="Times New Roman" w:eastAsia="方正仿宋_GBK" w:cs="Times New Roman"/>
                <w:kern w:val="0"/>
                <w:szCs w:val="21"/>
              </w:rPr>
              <w:t>分）</w:t>
            </w:r>
          </w:p>
        </w:tc>
      </w:tr>
      <w:tr w14:paraId="6344FB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noWrap w:val="0"/>
            <w:vAlign w:val="center"/>
          </w:tcPr>
          <w:p w14:paraId="70F7893A">
            <w:pPr>
              <w:autoSpaceDE w:val="0"/>
              <w:autoSpaceDN w:val="0"/>
              <w:adjustRightInd w:val="0"/>
              <w:snapToGrid w:val="0"/>
              <w:spacing w:line="300" w:lineRule="exact"/>
              <w:jc w:val="center"/>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w:t>
            </w:r>
            <w:r>
              <w:rPr>
                <w:rFonts w:hint="eastAsia" w:ascii="Times New Roman" w:hAnsi="Times New Roman" w:eastAsia="方正仿宋_GBK" w:cs="Times New Roman"/>
                <w:bCs/>
                <w:color w:val="000000"/>
                <w:szCs w:val="21"/>
                <w:lang w:eastAsia="zh-CN"/>
              </w:rPr>
              <w:t>三</w:t>
            </w:r>
            <w:r>
              <w:rPr>
                <w:rFonts w:hint="default" w:ascii="Times New Roman" w:hAnsi="Times New Roman" w:eastAsia="方正仿宋_GBK" w:cs="Times New Roman"/>
                <w:bCs/>
                <w:color w:val="000000"/>
                <w:szCs w:val="21"/>
              </w:rPr>
              <w:t>）</w:t>
            </w:r>
          </w:p>
        </w:tc>
        <w:tc>
          <w:tcPr>
            <w:tcW w:w="244" w:type="pct"/>
            <w:tcBorders>
              <w:top w:val="single" w:color="auto" w:sz="6" w:space="0"/>
              <w:left w:val="single" w:color="auto" w:sz="6" w:space="0"/>
              <w:bottom w:val="single" w:color="auto" w:sz="6" w:space="0"/>
              <w:right w:val="single" w:color="auto" w:sz="6" w:space="0"/>
            </w:tcBorders>
            <w:noWrap w:val="0"/>
            <w:vAlign w:val="center"/>
          </w:tcPr>
          <w:p w14:paraId="01BED9DD">
            <w:pPr>
              <w:spacing w:line="300" w:lineRule="exact"/>
              <w:jc w:val="center"/>
              <w:rPr>
                <w:rFonts w:hint="default" w:ascii="Times New Roman" w:hAnsi="Times New Roman" w:eastAsia="方正仿宋_GBK" w:cs="Times New Roman"/>
                <w:color w:val="000000"/>
                <w:szCs w:val="21"/>
              </w:rPr>
            </w:pPr>
            <w:r>
              <w:rPr>
                <w:rFonts w:hint="default" w:ascii="Times New Roman" w:hAnsi="Times New Roman" w:eastAsia="方正仿宋_GBK" w:cs="Times New Roman"/>
                <w:color w:val="000000"/>
                <w:szCs w:val="21"/>
              </w:rPr>
              <w:t>业绩情况</w:t>
            </w:r>
          </w:p>
        </w:tc>
        <w:tc>
          <w:tcPr>
            <w:tcW w:w="3188" w:type="pct"/>
            <w:tcBorders>
              <w:top w:val="single" w:color="auto" w:sz="6" w:space="0"/>
              <w:left w:val="single" w:color="auto" w:sz="6" w:space="0"/>
              <w:bottom w:val="single" w:color="auto" w:sz="6" w:space="0"/>
              <w:right w:val="single" w:color="auto" w:sz="6" w:space="0"/>
            </w:tcBorders>
            <w:noWrap w:val="0"/>
            <w:vAlign w:val="center"/>
          </w:tcPr>
          <w:p w14:paraId="4C93B631">
            <w:pPr>
              <w:spacing w:line="300" w:lineRule="exact"/>
              <w:rPr>
                <w:rFonts w:hint="default" w:ascii="Times New Roman" w:hAnsi="Times New Roman" w:eastAsia="方正仿宋_GBK" w:cs="Times New Roman"/>
                <w:color w:val="000000"/>
                <w:szCs w:val="21"/>
              </w:rPr>
            </w:pPr>
            <w:r>
              <w:rPr>
                <w:rFonts w:hint="default" w:ascii="Times New Roman" w:hAnsi="Times New Roman" w:eastAsia="方正仿宋_GBK" w:cs="Times New Roman"/>
                <w:color w:val="000000"/>
                <w:szCs w:val="21"/>
              </w:rPr>
              <w:t>供应商自2020年1月1日以来（以签订合同为准）承担过</w:t>
            </w:r>
            <w:r>
              <w:rPr>
                <w:rFonts w:hint="eastAsia" w:ascii="Times New Roman" w:hAnsi="Times New Roman" w:eastAsia="方正仿宋_GBK" w:cs="Times New Roman"/>
                <w:color w:val="000000"/>
                <w:szCs w:val="21"/>
                <w:lang w:eastAsia="zh-CN"/>
              </w:rPr>
              <w:t>环保</w:t>
            </w:r>
            <w:r>
              <w:rPr>
                <w:rFonts w:hint="eastAsia" w:ascii="Times New Roman" w:hAnsi="Times New Roman" w:eastAsia="方正仿宋_GBK" w:cs="Times New Roman"/>
                <w:color w:val="000000"/>
                <w:szCs w:val="21"/>
                <w:lang w:val="en-US" w:eastAsia="zh-CN"/>
              </w:rPr>
              <w:t>规划类</w:t>
            </w:r>
            <w:r>
              <w:rPr>
                <w:rFonts w:hint="default" w:ascii="Times New Roman" w:hAnsi="Times New Roman" w:eastAsia="方正仿宋_GBK" w:cs="Times New Roman"/>
                <w:color w:val="000000"/>
                <w:szCs w:val="21"/>
              </w:rPr>
              <w:t>的</w:t>
            </w:r>
            <w:r>
              <w:rPr>
                <w:rFonts w:hint="eastAsia" w:ascii="Times New Roman" w:hAnsi="Times New Roman" w:eastAsia="方正仿宋_GBK" w:cs="Times New Roman"/>
                <w:color w:val="000000"/>
                <w:szCs w:val="21"/>
                <w:lang w:val="en-US" w:eastAsia="zh-CN"/>
              </w:rPr>
              <w:t>业绩</w:t>
            </w:r>
            <w:r>
              <w:rPr>
                <w:rFonts w:hint="default" w:ascii="Times New Roman" w:hAnsi="Times New Roman" w:eastAsia="方正仿宋_GBK" w:cs="Times New Roman"/>
                <w:color w:val="000000"/>
                <w:szCs w:val="21"/>
              </w:rPr>
              <w:t>，得</w:t>
            </w:r>
            <w:r>
              <w:rPr>
                <w:rFonts w:hint="eastAsia" w:ascii="Times New Roman" w:hAnsi="Times New Roman" w:eastAsia="方正仿宋_GBK" w:cs="Times New Roman"/>
                <w:color w:val="000000"/>
                <w:szCs w:val="21"/>
                <w:lang w:val="en-US" w:eastAsia="zh-CN"/>
              </w:rPr>
              <w:t>15</w:t>
            </w:r>
            <w:r>
              <w:rPr>
                <w:rFonts w:hint="default" w:ascii="Times New Roman" w:hAnsi="Times New Roman" w:eastAsia="方正仿宋_GBK" w:cs="Times New Roman"/>
                <w:color w:val="000000"/>
                <w:szCs w:val="21"/>
              </w:rPr>
              <w:t>分。</w:t>
            </w:r>
          </w:p>
          <w:p w14:paraId="441C3220">
            <w:pPr>
              <w:spacing w:line="300" w:lineRule="exact"/>
              <w:rPr>
                <w:rFonts w:hint="default" w:ascii="Times New Roman" w:hAnsi="Times New Roman" w:eastAsia="方正仿宋_GBK" w:cs="Times New Roman"/>
                <w:color w:val="000000"/>
                <w:szCs w:val="21"/>
              </w:rPr>
            </w:pPr>
            <w:r>
              <w:rPr>
                <w:rFonts w:hint="default" w:ascii="Times New Roman" w:hAnsi="Times New Roman" w:eastAsia="方正仿宋_GBK" w:cs="Times New Roman"/>
                <w:color w:val="000000"/>
                <w:szCs w:val="21"/>
              </w:rPr>
              <w:t>注：供应商须提供合同（含签订合同双方的单位名称、合同项目名称、签订合同双方的落款盖章、签订日期的关键页）复印件加盖供应商公章作为同类业绩证明资料，同一个合同涉及两个项目的，按一个得分项计算。不提供或资料不全不得分。</w:t>
            </w:r>
          </w:p>
        </w:tc>
        <w:tc>
          <w:tcPr>
            <w:tcW w:w="259" w:type="pct"/>
            <w:tcBorders>
              <w:top w:val="single" w:color="auto" w:sz="6" w:space="0"/>
              <w:left w:val="single" w:color="auto" w:sz="6" w:space="0"/>
              <w:bottom w:val="single" w:color="auto" w:sz="6" w:space="0"/>
              <w:right w:val="single" w:color="auto" w:sz="6" w:space="0"/>
            </w:tcBorders>
            <w:noWrap w:val="0"/>
            <w:vAlign w:val="center"/>
          </w:tcPr>
          <w:p w14:paraId="3CB4F71B">
            <w:pPr>
              <w:autoSpaceDE w:val="0"/>
              <w:autoSpaceDN w:val="0"/>
              <w:adjustRightInd w:val="0"/>
              <w:snapToGrid w:val="0"/>
              <w:spacing w:line="300" w:lineRule="exact"/>
              <w:ind w:left="-63" w:leftChars="-30" w:right="-88" w:rightChars="-42"/>
              <w:jc w:val="center"/>
              <w:rPr>
                <w:rFonts w:hint="default" w:ascii="Times New Roman" w:hAnsi="Times New Roman" w:eastAsia="方正仿宋_GBK" w:cs="Times New Roman"/>
                <w:color w:val="000000"/>
                <w:kern w:val="0"/>
                <w:szCs w:val="21"/>
                <w:lang w:val="en-US" w:eastAsia="zh-CN"/>
              </w:rPr>
            </w:pPr>
            <w:r>
              <w:rPr>
                <w:rFonts w:hint="eastAsia" w:ascii="Times New Roman" w:hAnsi="Times New Roman" w:eastAsia="方正仿宋_GBK" w:cs="Times New Roman"/>
                <w:color w:val="000000"/>
                <w:kern w:val="0"/>
                <w:szCs w:val="21"/>
                <w:lang w:val="en-US" w:eastAsia="zh-CN"/>
              </w:rPr>
              <w:t>15</w:t>
            </w:r>
          </w:p>
        </w:tc>
        <w:tc>
          <w:tcPr>
            <w:tcW w:w="335" w:type="pct"/>
            <w:tcBorders>
              <w:top w:val="single" w:color="auto" w:sz="6" w:space="0"/>
              <w:left w:val="single" w:color="auto" w:sz="6" w:space="0"/>
              <w:bottom w:val="single" w:color="auto" w:sz="6" w:space="0"/>
              <w:right w:val="single" w:color="auto" w:sz="6" w:space="0"/>
            </w:tcBorders>
            <w:noWrap w:val="0"/>
            <w:vAlign w:val="top"/>
          </w:tcPr>
          <w:p w14:paraId="49BD0638">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rPr>
            </w:pPr>
          </w:p>
        </w:tc>
        <w:tc>
          <w:tcPr>
            <w:tcW w:w="336" w:type="pct"/>
            <w:tcBorders>
              <w:top w:val="single" w:color="auto" w:sz="6" w:space="0"/>
              <w:left w:val="single" w:color="auto" w:sz="6" w:space="0"/>
              <w:bottom w:val="single" w:color="auto" w:sz="6" w:space="0"/>
              <w:right w:val="single" w:color="auto" w:sz="6" w:space="0"/>
            </w:tcBorders>
            <w:noWrap w:val="0"/>
            <w:vAlign w:val="top"/>
          </w:tcPr>
          <w:p w14:paraId="50EF68E3">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rPr>
            </w:pPr>
          </w:p>
        </w:tc>
        <w:tc>
          <w:tcPr>
            <w:tcW w:w="335" w:type="pct"/>
            <w:tcBorders>
              <w:top w:val="single" w:color="auto" w:sz="6" w:space="0"/>
              <w:left w:val="single" w:color="auto" w:sz="6" w:space="0"/>
              <w:bottom w:val="single" w:color="auto" w:sz="6" w:space="0"/>
              <w:right w:val="single" w:color="auto" w:sz="6" w:space="0"/>
            </w:tcBorders>
            <w:noWrap w:val="0"/>
            <w:vAlign w:val="top"/>
          </w:tcPr>
          <w:p w14:paraId="3D0EDE1B">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rPr>
            </w:pPr>
          </w:p>
        </w:tc>
      </w:tr>
      <w:tr w14:paraId="75EED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noWrap w:val="0"/>
            <w:vAlign w:val="center"/>
          </w:tcPr>
          <w:p w14:paraId="7EB66E6D">
            <w:pPr>
              <w:autoSpaceDE w:val="0"/>
              <w:autoSpaceDN w:val="0"/>
              <w:adjustRightInd w:val="0"/>
              <w:snapToGrid w:val="0"/>
              <w:spacing w:line="300" w:lineRule="exact"/>
              <w:jc w:val="center"/>
              <w:rPr>
                <w:rFonts w:hint="default" w:ascii="Times New Roman" w:hAnsi="Times New Roman" w:eastAsia="方正仿宋_GBK" w:cs="Times New Roman"/>
                <w:bCs/>
                <w:color w:val="000000"/>
                <w:szCs w:val="21"/>
                <w:highlight w:val="none"/>
              </w:rPr>
            </w:pPr>
            <w:r>
              <w:rPr>
                <w:rFonts w:hint="default" w:ascii="Times New Roman" w:hAnsi="Times New Roman" w:eastAsia="方正仿宋_GBK" w:cs="Times New Roman"/>
                <w:bCs/>
                <w:color w:val="000000"/>
                <w:szCs w:val="21"/>
                <w:highlight w:val="none"/>
              </w:rPr>
              <w:t>（</w:t>
            </w:r>
            <w:r>
              <w:rPr>
                <w:rFonts w:hint="eastAsia" w:ascii="Times New Roman" w:hAnsi="Times New Roman" w:eastAsia="方正仿宋_GBK" w:cs="Times New Roman"/>
                <w:bCs/>
                <w:color w:val="000000"/>
                <w:szCs w:val="21"/>
                <w:highlight w:val="none"/>
                <w:lang w:eastAsia="zh-CN"/>
              </w:rPr>
              <w:t>四</w:t>
            </w:r>
            <w:r>
              <w:rPr>
                <w:rFonts w:hint="default" w:ascii="Times New Roman" w:hAnsi="Times New Roman" w:eastAsia="方正仿宋_GBK" w:cs="Times New Roman"/>
                <w:bCs/>
                <w:color w:val="000000"/>
                <w:szCs w:val="21"/>
                <w:highlight w:val="none"/>
              </w:rPr>
              <w:t>）</w:t>
            </w:r>
          </w:p>
        </w:tc>
        <w:tc>
          <w:tcPr>
            <w:tcW w:w="244" w:type="pct"/>
            <w:tcBorders>
              <w:top w:val="single" w:color="auto" w:sz="6" w:space="0"/>
              <w:left w:val="single" w:color="auto" w:sz="6" w:space="0"/>
              <w:bottom w:val="single" w:color="auto" w:sz="6" w:space="0"/>
              <w:right w:val="single" w:color="auto" w:sz="6" w:space="0"/>
            </w:tcBorders>
            <w:noWrap w:val="0"/>
            <w:vAlign w:val="center"/>
          </w:tcPr>
          <w:p w14:paraId="2F8CCB5D">
            <w:pPr>
              <w:spacing w:line="300" w:lineRule="exact"/>
              <w:jc w:val="center"/>
              <w:rPr>
                <w:rFonts w:hint="default" w:ascii="Times New Roman" w:hAnsi="Times New Roman" w:eastAsia="方正仿宋_GBK" w:cs="Times New Roman"/>
                <w:color w:val="000000"/>
                <w:szCs w:val="21"/>
                <w:highlight w:val="none"/>
              </w:rPr>
            </w:pPr>
            <w:r>
              <w:rPr>
                <w:rFonts w:hint="default" w:ascii="Times New Roman" w:hAnsi="Times New Roman" w:eastAsia="方正仿宋_GBK" w:cs="Times New Roman"/>
                <w:color w:val="000000"/>
                <w:szCs w:val="21"/>
                <w:highlight w:val="none"/>
              </w:rPr>
              <w:t>项目负责人实力</w:t>
            </w:r>
          </w:p>
        </w:tc>
        <w:tc>
          <w:tcPr>
            <w:tcW w:w="3188" w:type="pct"/>
            <w:tcBorders>
              <w:top w:val="single" w:color="auto" w:sz="6" w:space="0"/>
              <w:left w:val="single" w:color="auto" w:sz="6" w:space="0"/>
              <w:bottom w:val="single" w:color="auto" w:sz="6" w:space="0"/>
              <w:right w:val="single" w:color="auto" w:sz="6" w:space="0"/>
            </w:tcBorders>
            <w:noWrap w:val="0"/>
            <w:vAlign w:val="center"/>
          </w:tcPr>
          <w:p w14:paraId="2748D3EC">
            <w:pPr>
              <w:spacing w:line="300" w:lineRule="exact"/>
              <w:rPr>
                <w:rFonts w:hint="default" w:ascii="Times New Roman" w:hAnsi="Times New Roman" w:eastAsia="方正仿宋_GBK" w:cs="Times New Roman"/>
                <w:color w:val="000000"/>
                <w:szCs w:val="21"/>
                <w:highlight w:val="none"/>
              </w:rPr>
            </w:pPr>
            <w:r>
              <w:rPr>
                <w:rFonts w:hint="default" w:ascii="Times New Roman" w:hAnsi="Times New Roman" w:eastAsia="方正仿宋_GBK" w:cs="Times New Roman"/>
                <w:color w:val="000000"/>
                <w:szCs w:val="21"/>
                <w:highlight w:val="none"/>
              </w:rPr>
              <w:t>拟委派的项目负责人，具有环境类相关专业副高级（或以上）技术职称的，得</w:t>
            </w:r>
            <w:r>
              <w:rPr>
                <w:rFonts w:hint="eastAsia" w:ascii="Times New Roman" w:hAnsi="Times New Roman" w:eastAsia="方正仿宋_GBK" w:cs="Times New Roman"/>
                <w:color w:val="000000"/>
                <w:szCs w:val="21"/>
                <w:highlight w:val="none"/>
                <w:lang w:val="en-US" w:eastAsia="zh-CN"/>
              </w:rPr>
              <w:t>10</w:t>
            </w:r>
            <w:r>
              <w:rPr>
                <w:rFonts w:hint="default" w:ascii="Times New Roman" w:hAnsi="Times New Roman" w:eastAsia="方正仿宋_GBK" w:cs="Times New Roman"/>
                <w:color w:val="000000"/>
                <w:szCs w:val="21"/>
                <w:highlight w:val="none"/>
              </w:rPr>
              <w:t>分；具有环境类相关专业中级技术职称的，得</w:t>
            </w:r>
            <w:r>
              <w:rPr>
                <w:rFonts w:hint="default" w:ascii="Times New Roman" w:hAnsi="Times New Roman" w:eastAsia="方正仿宋_GBK" w:cs="Times New Roman"/>
                <w:color w:val="000000"/>
                <w:szCs w:val="21"/>
                <w:highlight w:val="none"/>
                <w:lang w:val="en-US" w:eastAsia="zh-CN"/>
              </w:rPr>
              <w:t>5</w:t>
            </w:r>
            <w:r>
              <w:rPr>
                <w:rFonts w:hint="default" w:ascii="Times New Roman" w:hAnsi="Times New Roman" w:eastAsia="方正仿宋_GBK" w:cs="Times New Roman"/>
                <w:color w:val="000000"/>
                <w:szCs w:val="21"/>
                <w:highlight w:val="none"/>
              </w:rPr>
              <w:t>分。其余不得分。</w:t>
            </w:r>
          </w:p>
          <w:p w14:paraId="078BBE41">
            <w:pPr>
              <w:spacing w:line="300" w:lineRule="exact"/>
              <w:rPr>
                <w:rFonts w:hint="default" w:ascii="Times New Roman" w:hAnsi="Times New Roman" w:eastAsia="方正仿宋_GBK" w:cs="Times New Roman"/>
                <w:color w:val="000000"/>
                <w:szCs w:val="21"/>
                <w:highlight w:val="none"/>
              </w:rPr>
            </w:pPr>
            <w:r>
              <w:rPr>
                <w:rFonts w:hint="default" w:ascii="Times New Roman" w:hAnsi="Times New Roman" w:eastAsia="方正仿宋_GBK" w:cs="Times New Roman"/>
                <w:color w:val="000000"/>
                <w:szCs w:val="21"/>
                <w:highlight w:val="none"/>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259" w:type="pct"/>
            <w:tcBorders>
              <w:top w:val="single" w:color="auto" w:sz="6" w:space="0"/>
              <w:left w:val="single" w:color="auto" w:sz="6" w:space="0"/>
              <w:bottom w:val="single" w:color="auto" w:sz="6" w:space="0"/>
              <w:right w:val="single" w:color="auto" w:sz="6" w:space="0"/>
            </w:tcBorders>
            <w:noWrap w:val="0"/>
            <w:vAlign w:val="center"/>
          </w:tcPr>
          <w:p w14:paraId="566D1C3C">
            <w:pPr>
              <w:autoSpaceDE w:val="0"/>
              <w:autoSpaceDN w:val="0"/>
              <w:adjustRightInd w:val="0"/>
              <w:snapToGrid w:val="0"/>
              <w:spacing w:line="300" w:lineRule="exact"/>
              <w:ind w:left="-63" w:leftChars="-30" w:right="-88" w:rightChars="-42"/>
              <w:jc w:val="center"/>
              <w:rPr>
                <w:rFonts w:hint="default" w:ascii="Times New Roman" w:hAnsi="Times New Roman" w:eastAsia="方正仿宋_GBK" w:cs="Times New Roman"/>
                <w:color w:val="000000"/>
                <w:kern w:val="0"/>
                <w:szCs w:val="21"/>
                <w:highlight w:val="none"/>
                <w:lang w:val="en-US" w:eastAsia="zh-CN"/>
              </w:rPr>
            </w:pPr>
            <w:r>
              <w:rPr>
                <w:rFonts w:hint="eastAsia" w:ascii="Times New Roman" w:hAnsi="Times New Roman" w:eastAsia="方正仿宋_GBK" w:cs="Times New Roman"/>
                <w:bCs/>
                <w:color w:val="000000"/>
                <w:kern w:val="0"/>
                <w:szCs w:val="21"/>
                <w:highlight w:val="none"/>
                <w:lang w:val="en-US" w:eastAsia="zh-CN"/>
              </w:rPr>
              <w:t>10</w:t>
            </w:r>
          </w:p>
        </w:tc>
        <w:tc>
          <w:tcPr>
            <w:tcW w:w="335" w:type="pct"/>
            <w:tcBorders>
              <w:top w:val="single" w:color="auto" w:sz="6" w:space="0"/>
              <w:left w:val="single" w:color="auto" w:sz="6" w:space="0"/>
              <w:bottom w:val="single" w:color="auto" w:sz="6" w:space="0"/>
              <w:right w:val="single" w:color="auto" w:sz="6" w:space="0"/>
            </w:tcBorders>
            <w:noWrap w:val="0"/>
            <w:vAlign w:val="top"/>
          </w:tcPr>
          <w:p w14:paraId="7383551E">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highlight w:val="none"/>
              </w:rPr>
            </w:pPr>
          </w:p>
        </w:tc>
        <w:tc>
          <w:tcPr>
            <w:tcW w:w="336" w:type="pct"/>
            <w:tcBorders>
              <w:top w:val="single" w:color="auto" w:sz="6" w:space="0"/>
              <w:left w:val="single" w:color="auto" w:sz="6" w:space="0"/>
              <w:bottom w:val="single" w:color="auto" w:sz="6" w:space="0"/>
              <w:right w:val="single" w:color="auto" w:sz="6" w:space="0"/>
            </w:tcBorders>
            <w:noWrap w:val="0"/>
            <w:vAlign w:val="top"/>
          </w:tcPr>
          <w:p w14:paraId="24912D8A">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highlight w:val="none"/>
              </w:rPr>
            </w:pPr>
          </w:p>
        </w:tc>
        <w:tc>
          <w:tcPr>
            <w:tcW w:w="335" w:type="pct"/>
            <w:tcBorders>
              <w:top w:val="single" w:color="auto" w:sz="6" w:space="0"/>
              <w:left w:val="single" w:color="auto" w:sz="6" w:space="0"/>
              <w:bottom w:val="single" w:color="auto" w:sz="6" w:space="0"/>
              <w:right w:val="single" w:color="auto" w:sz="6" w:space="0"/>
            </w:tcBorders>
            <w:noWrap w:val="0"/>
            <w:vAlign w:val="top"/>
          </w:tcPr>
          <w:p w14:paraId="1E061D06">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highlight w:val="none"/>
              </w:rPr>
            </w:pPr>
          </w:p>
        </w:tc>
      </w:tr>
      <w:tr w14:paraId="7925D4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noWrap w:val="0"/>
            <w:vAlign w:val="center"/>
          </w:tcPr>
          <w:p w14:paraId="10A9F00F">
            <w:pPr>
              <w:autoSpaceDE w:val="0"/>
              <w:autoSpaceDN w:val="0"/>
              <w:adjustRightInd w:val="0"/>
              <w:snapToGrid w:val="0"/>
              <w:spacing w:line="300" w:lineRule="exact"/>
              <w:jc w:val="center"/>
              <w:rPr>
                <w:rFonts w:hint="default" w:ascii="Times New Roman" w:hAnsi="Times New Roman" w:eastAsia="方正仿宋_GBK" w:cs="Times New Roman"/>
                <w:bCs/>
                <w:color w:val="000000"/>
                <w:szCs w:val="21"/>
                <w:highlight w:val="none"/>
              </w:rPr>
            </w:pPr>
            <w:r>
              <w:rPr>
                <w:rFonts w:hint="default" w:ascii="Times New Roman" w:hAnsi="Times New Roman" w:eastAsia="方正仿宋_GBK" w:cs="Times New Roman"/>
                <w:bCs/>
                <w:color w:val="000000"/>
                <w:szCs w:val="21"/>
                <w:highlight w:val="none"/>
              </w:rPr>
              <w:t>（</w:t>
            </w:r>
            <w:r>
              <w:rPr>
                <w:rFonts w:hint="eastAsia" w:ascii="Times New Roman" w:hAnsi="Times New Roman" w:eastAsia="方正仿宋_GBK" w:cs="Times New Roman"/>
                <w:bCs/>
                <w:color w:val="000000"/>
                <w:szCs w:val="21"/>
                <w:highlight w:val="none"/>
                <w:lang w:eastAsia="zh-CN"/>
              </w:rPr>
              <w:t>五</w:t>
            </w:r>
            <w:r>
              <w:rPr>
                <w:rFonts w:hint="default" w:ascii="Times New Roman" w:hAnsi="Times New Roman" w:eastAsia="方正仿宋_GBK" w:cs="Times New Roman"/>
                <w:bCs/>
                <w:color w:val="000000"/>
                <w:szCs w:val="21"/>
                <w:highlight w:val="none"/>
              </w:rPr>
              <w:t>）</w:t>
            </w:r>
          </w:p>
        </w:tc>
        <w:tc>
          <w:tcPr>
            <w:tcW w:w="244" w:type="pct"/>
            <w:tcBorders>
              <w:top w:val="single" w:color="auto" w:sz="6" w:space="0"/>
              <w:left w:val="single" w:color="auto" w:sz="6" w:space="0"/>
              <w:bottom w:val="single" w:color="auto" w:sz="6" w:space="0"/>
              <w:right w:val="single" w:color="auto" w:sz="6" w:space="0"/>
            </w:tcBorders>
            <w:noWrap w:val="0"/>
            <w:vAlign w:val="center"/>
          </w:tcPr>
          <w:p w14:paraId="7271AA10">
            <w:pPr>
              <w:spacing w:line="300" w:lineRule="exact"/>
              <w:jc w:val="center"/>
              <w:rPr>
                <w:rFonts w:hint="default" w:ascii="Times New Roman" w:hAnsi="Times New Roman" w:eastAsia="方正仿宋_GBK" w:cs="Times New Roman"/>
                <w:color w:val="000000"/>
                <w:szCs w:val="21"/>
                <w:highlight w:val="none"/>
              </w:rPr>
            </w:pPr>
            <w:r>
              <w:rPr>
                <w:rFonts w:hint="default" w:ascii="Times New Roman" w:hAnsi="Times New Roman" w:eastAsia="方正仿宋_GBK" w:cs="Times New Roman"/>
                <w:color w:val="000000"/>
                <w:szCs w:val="21"/>
                <w:highlight w:val="none"/>
              </w:rPr>
              <w:t>团队实力</w:t>
            </w:r>
          </w:p>
        </w:tc>
        <w:tc>
          <w:tcPr>
            <w:tcW w:w="3188" w:type="pct"/>
            <w:tcBorders>
              <w:top w:val="single" w:color="auto" w:sz="6" w:space="0"/>
              <w:left w:val="single" w:color="auto" w:sz="6" w:space="0"/>
              <w:bottom w:val="single" w:color="auto" w:sz="6" w:space="0"/>
              <w:right w:val="single" w:color="auto" w:sz="6" w:space="0"/>
            </w:tcBorders>
            <w:noWrap w:val="0"/>
            <w:vAlign w:val="center"/>
          </w:tcPr>
          <w:p w14:paraId="20E8C041">
            <w:pPr>
              <w:spacing w:line="300" w:lineRule="exact"/>
              <w:rPr>
                <w:rFonts w:hint="eastAsia" w:ascii="Times New Roman" w:hAnsi="Times New Roman" w:eastAsia="方正仿宋_GBK" w:cs="Times New Roman"/>
                <w:color w:val="000000"/>
                <w:szCs w:val="21"/>
                <w:highlight w:val="none"/>
                <w:lang w:val="en-US" w:eastAsia="zh-CN"/>
              </w:rPr>
            </w:pPr>
            <w:r>
              <w:rPr>
                <w:rFonts w:hint="default" w:ascii="Times New Roman" w:hAnsi="Times New Roman" w:eastAsia="方正仿宋_GBK" w:cs="Times New Roman"/>
                <w:color w:val="000000"/>
                <w:szCs w:val="21"/>
                <w:highlight w:val="none"/>
              </w:rPr>
              <w:t>拟委派的技术人员</w:t>
            </w:r>
            <w:r>
              <w:rPr>
                <w:rFonts w:ascii="Times New Roman" w:hAnsi="Times New Roman" w:eastAsia="方正仿宋_GBK"/>
                <w:color w:val="auto"/>
                <w:szCs w:val="21"/>
              </w:rPr>
              <w:t>（不含项目负责人）</w:t>
            </w:r>
            <w:r>
              <w:rPr>
                <w:rFonts w:hint="default" w:ascii="Times New Roman" w:hAnsi="Times New Roman" w:eastAsia="方正仿宋_GBK" w:cs="Times New Roman"/>
                <w:color w:val="000000"/>
                <w:szCs w:val="21"/>
                <w:highlight w:val="none"/>
              </w:rPr>
              <w:t>，具有环境类相关专业副高级（或以上）技术职称的，得</w:t>
            </w:r>
            <w:r>
              <w:rPr>
                <w:rFonts w:hint="eastAsia" w:ascii="Times New Roman" w:hAnsi="Times New Roman" w:eastAsia="方正仿宋_GBK" w:cs="Times New Roman"/>
                <w:color w:val="000000"/>
                <w:szCs w:val="21"/>
                <w:highlight w:val="none"/>
                <w:lang w:val="en-US" w:eastAsia="zh-CN"/>
              </w:rPr>
              <w:t>10</w:t>
            </w:r>
            <w:r>
              <w:rPr>
                <w:rFonts w:hint="default" w:ascii="Times New Roman" w:hAnsi="Times New Roman" w:eastAsia="方正仿宋_GBK" w:cs="Times New Roman"/>
                <w:color w:val="000000"/>
                <w:szCs w:val="21"/>
                <w:highlight w:val="none"/>
              </w:rPr>
              <w:t>分；具有环境类相关专业中级技术职称的，每人得</w:t>
            </w:r>
            <w:r>
              <w:rPr>
                <w:rFonts w:hint="eastAsia" w:ascii="Times New Roman" w:hAnsi="Times New Roman" w:eastAsia="方正仿宋_GBK" w:cs="Times New Roman"/>
                <w:color w:val="000000"/>
                <w:szCs w:val="21"/>
                <w:highlight w:val="none"/>
                <w:lang w:val="en-US" w:eastAsia="zh-CN"/>
              </w:rPr>
              <w:t>5</w:t>
            </w:r>
            <w:r>
              <w:rPr>
                <w:rFonts w:hint="default" w:ascii="Times New Roman" w:hAnsi="Times New Roman" w:eastAsia="方正仿宋_GBK" w:cs="Times New Roman"/>
                <w:color w:val="000000"/>
                <w:szCs w:val="21"/>
                <w:highlight w:val="none"/>
              </w:rPr>
              <w:t>分；具有环境类相关专业</w:t>
            </w:r>
            <w:r>
              <w:rPr>
                <w:rFonts w:hint="eastAsia" w:ascii="Times New Roman" w:hAnsi="Times New Roman" w:eastAsia="方正仿宋_GBK" w:cs="Times New Roman"/>
                <w:color w:val="000000"/>
                <w:szCs w:val="21"/>
                <w:highlight w:val="none"/>
                <w:lang w:eastAsia="zh-CN"/>
              </w:rPr>
              <w:t>初</w:t>
            </w:r>
            <w:r>
              <w:rPr>
                <w:rFonts w:hint="default" w:ascii="Times New Roman" w:hAnsi="Times New Roman" w:eastAsia="方正仿宋_GBK" w:cs="Times New Roman"/>
                <w:color w:val="000000"/>
                <w:szCs w:val="21"/>
                <w:highlight w:val="none"/>
              </w:rPr>
              <w:t>级技术职称的，每人得</w:t>
            </w:r>
            <w:r>
              <w:rPr>
                <w:rFonts w:hint="eastAsia" w:ascii="Times New Roman" w:hAnsi="Times New Roman" w:eastAsia="方正仿宋_GBK" w:cs="Times New Roman"/>
                <w:color w:val="000000"/>
                <w:szCs w:val="21"/>
                <w:highlight w:val="none"/>
                <w:lang w:val="en-US" w:eastAsia="zh-CN"/>
              </w:rPr>
              <w:t>1</w:t>
            </w:r>
            <w:r>
              <w:rPr>
                <w:rFonts w:hint="default" w:ascii="Times New Roman" w:hAnsi="Times New Roman" w:eastAsia="方正仿宋_GBK" w:cs="Times New Roman"/>
                <w:color w:val="000000"/>
                <w:szCs w:val="21"/>
                <w:highlight w:val="none"/>
              </w:rPr>
              <w:t>分</w:t>
            </w:r>
            <w:r>
              <w:rPr>
                <w:rFonts w:hint="eastAsia" w:ascii="Times New Roman" w:hAnsi="Times New Roman" w:eastAsia="方正仿宋_GBK" w:cs="Times New Roman"/>
                <w:color w:val="000000"/>
                <w:szCs w:val="21"/>
                <w:highlight w:val="none"/>
                <w:lang w:eastAsia="zh-CN"/>
              </w:rPr>
              <w:t>。</w:t>
            </w:r>
            <w:bookmarkStart w:id="0" w:name="_GoBack"/>
            <w:bookmarkEnd w:id="0"/>
          </w:p>
          <w:p w14:paraId="1CFF864B">
            <w:pPr>
              <w:spacing w:line="300" w:lineRule="exact"/>
              <w:rPr>
                <w:rFonts w:hint="default" w:ascii="Times New Roman" w:hAnsi="Times New Roman" w:eastAsia="方正仿宋_GBK" w:cs="Times New Roman"/>
                <w:color w:val="000000"/>
                <w:szCs w:val="21"/>
                <w:highlight w:val="none"/>
              </w:rPr>
            </w:pPr>
            <w:r>
              <w:rPr>
                <w:rFonts w:hint="default" w:ascii="Times New Roman" w:hAnsi="Times New Roman" w:eastAsia="方正仿宋_GBK" w:cs="Times New Roman"/>
                <w:color w:val="000000"/>
                <w:szCs w:val="21"/>
                <w:highlight w:val="none"/>
              </w:rPr>
              <w:t>注：上述合计最高得</w:t>
            </w:r>
            <w:r>
              <w:rPr>
                <w:rFonts w:hint="eastAsia" w:ascii="Times New Roman" w:hAnsi="Times New Roman" w:eastAsia="方正仿宋_GBK" w:cs="Times New Roman"/>
                <w:color w:val="000000"/>
                <w:szCs w:val="21"/>
                <w:highlight w:val="none"/>
                <w:lang w:val="en-US" w:eastAsia="zh-CN"/>
              </w:rPr>
              <w:t>25</w:t>
            </w:r>
            <w:r>
              <w:rPr>
                <w:rFonts w:hint="default" w:ascii="Times New Roman" w:hAnsi="Times New Roman" w:eastAsia="方正仿宋_GBK" w:cs="Times New Roman"/>
                <w:color w:val="000000"/>
                <w:szCs w:val="21"/>
                <w:highlight w:val="none"/>
              </w:rPr>
              <w:t>分，同一人员具备多个不同等级职称的，不重复计算得分。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259" w:type="pct"/>
            <w:tcBorders>
              <w:top w:val="single" w:color="auto" w:sz="6" w:space="0"/>
              <w:left w:val="single" w:color="auto" w:sz="6" w:space="0"/>
              <w:bottom w:val="single" w:color="auto" w:sz="6" w:space="0"/>
              <w:right w:val="single" w:color="auto" w:sz="6" w:space="0"/>
            </w:tcBorders>
            <w:noWrap w:val="0"/>
            <w:vAlign w:val="center"/>
          </w:tcPr>
          <w:p w14:paraId="234F9204">
            <w:pPr>
              <w:autoSpaceDE w:val="0"/>
              <w:autoSpaceDN w:val="0"/>
              <w:adjustRightInd w:val="0"/>
              <w:snapToGrid w:val="0"/>
              <w:spacing w:line="300" w:lineRule="exact"/>
              <w:ind w:left="-63" w:leftChars="-30" w:right="-88" w:rightChars="-42"/>
              <w:jc w:val="center"/>
              <w:rPr>
                <w:rFonts w:hint="default" w:ascii="Times New Roman" w:hAnsi="Times New Roman" w:eastAsia="方正仿宋_GBK" w:cs="Times New Roman"/>
                <w:bCs/>
                <w:color w:val="000000"/>
                <w:kern w:val="0"/>
                <w:szCs w:val="21"/>
                <w:highlight w:val="none"/>
                <w:lang w:val="en-US" w:eastAsia="zh-CN"/>
              </w:rPr>
            </w:pPr>
            <w:r>
              <w:rPr>
                <w:rFonts w:hint="eastAsia" w:ascii="Times New Roman" w:hAnsi="Times New Roman" w:eastAsia="方正仿宋_GBK" w:cs="Times New Roman"/>
                <w:bCs/>
                <w:color w:val="000000"/>
                <w:kern w:val="0"/>
                <w:szCs w:val="21"/>
                <w:highlight w:val="none"/>
                <w:lang w:val="en-US" w:eastAsia="zh-CN"/>
              </w:rPr>
              <w:t>25</w:t>
            </w:r>
          </w:p>
        </w:tc>
        <w:tc>
          <w:tcPr>
            <w:tcW w:w="335" w:type="pct"/>
            <w:tcBorders>
              <w:top w:val="single" w:color="auto" w:sz="6" w:space="0"/>
              <w:left w:val="single" w:color="auto" w:sz="6" w:space="0"/>
              <w:bottom w:val="single" w:color="auto" w:sz="6" w:space="0"/>
              <w:right w:val="single" w:color="auto" w:sz="6" w:space="0"/>
            </w:tcBorders>
            <w:noWrap w:val="0"/>
            <w:vAlign w:val="top"/>
          </w:tcPr>
          <w:p w14:paraId="0338442A">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highlight w:val="none"/>
              </w:rPr>
            </w:pPr>
          </w:p>
        </w:tc>
        <w:tc>
          <w:tcPr>
            <w:tcW w:w="336" w:type="pct"/>
            <w:tcBorders>
              <w:top w:val="single" w:color="auto" w:sz="6" w:space="0"/>
              <w:left w:val="single" w:color="auto" w:sz="6" w:space="0"/>
              <w:bottom w:val="single" w:color="auto" w:sz="6" w:space="0"/>
              <w:right w:val="single" w:color="auto" w:sz="6" w:space="0"/>
            </w:tcBorders>
            <w:noWrap w:val="0"/>
            <w:vAlign w:val="top"/>
          </w:tcPr>
          <w:p w14:paraId="34575698">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highlight w:val="none"/>
              </w:rPr>
            </w:pPr>
          </w:p>
        </w:tc>
        <w:tc>
          <w:tcPr>
            <w:tcW w:w="335" w:type="pct"/>
            <w:tcBorders>
              <w:top w:val="single" w:color="auto" w:sz="6" w:space="0"/>
              <w:left w:val="single" w:color="auto" w:sz="6" w:space="0"/>
              <w:bottom w:val="single" w:color="auto" w:sz="6" w:space="0"/>
              <w:right w:val="single" w:color="auto" w:sz="6" w:space="0"/>
            </w:tcBorders>
            <w:noWrap w:val="0"/>
            <w:vAlign w:val="top"/>
          </w:tcPr>
          <w:p w14:paraId="3607654D">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color w:val="000000"/>
                <w:kern w:val="0"/>
                <w:szCs w:val="21"/>
                <w:highlight w:val="none"/>
              </w:rPr>
            </w:pPr>
          </w:p>
        </w:tc>
      </w:tr>
      <w:tr w14:paraId="0D6D6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6" w:space="0"/>
              <w:left w:val="single" w:color="auto" w:sz="12" w:space="0"/>
              <w:bottom w:val="single" w:color="auto" w:sz="6" w:space="0"/>
              <w:right w:val="single" w:color="auto" w:sz="6" w:space="0"/>
            </w:tcBorders>
            <w:noWrap w:val="0"/>
            <w:vAlign w:val="center"/>
          </w:tcPr>
          <w:p w14:paraId="61CF949C">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三、价格部分（</w:t>
            </w:r>
            <w:r>
              <w:rPr>
                <w:rFonts w:hint="eastAsia" w:ascii="Times New Roman" w:hAnsi="Times New Roman" w:eastAsia="方正仿宋_GBK" w:cs="Times New Roman"/>
                <w:kern w:val="0"/>
                <w:szCs w:val="21"/>
                <w:lang w:val="en-US" w:eastAsia="zh-CN"/>
              </w:rPr>
              <w:t>20</w:t>
            </w:r>
            <w:r>
              <w:rPr>
                <w:rFonts w:hint="default" w:ascii="Times New Roman" w:hAnsi="Times New Roman" w:eastAsia="方正仿宋_GBK" w:cs="Times New Roman"/>
                <w:kern w:val="0"/>
                <w:szCs w:val="21"/>
              </w:rPr>
              <w:t>分）</w:t>
            </w:r>
          </w:p>
        </w:tc>
      </w:tr>
      <w:tr w14:paraId="2998A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noWrap w:val="0"/>
            <w:vAlign w:val="center"/>
          </w:tcPr>
          <w:p w14:paraId="3CD3D3C3">
            <w:pPr>
              <w:autoSpaceDE w:val="0"/>
              <w:autoSpaceDN w:val="0"/>
              <w:adjustRightInd w:val="0"/>
              <w:snapToGrid w:val="0"/>
              <w:spacing w:line="30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w:t>
            </w:r>
            <w:r>
              <w:rPr>
                <w:rFonts w:hint="eastAsia" w:ascii="Times New Roman" w:hAnsi="Times New Roman" w:eastAsia="方正仿宋_GBK" w:cs="Times New Roman"/>
                <w:kern w:val="0"/>
                <w:szCs w:val="21"/>
                <w:lang w:eastAsia="zh-CN"/>
              </w:rPr>
              <w:t>六</w:t>
            </w:r>
            <w:r>
              <w:rPr>
                <w:rFonts w:hint="default" w:ascii="Times New Roman" w:hAnsi="Times New Roman" w:eastAsia="方正仿宋_GBK" w:cs="Times New Roman"/>
                <w:kern w:val="0"/>
                <w:szCs w:val="21"/>
              </w:rPr>
              <w:t>）</w:t>
            </w:r>
          </w:p>
        </w:tc>
        <w:tc>
          <w:tcPr>
            <w:tcW w:w="244" w:type="pct"/>
            <w:tcBorders>
              <w:top w:val="single" w:color="auto" w:sz="6" w:space="0"/>
              <w:left w:val="single" w:color="auto" w:sz="6" w:space="0"/>
              <w:bottom w:val="single" w:color="auto" w:sz="6" w:space="0"/>
              <w:right w:val="single" w:color="auto" w:sz="6" w:space="0"/>
            </w:tcBorders>
            <w:noWrap w:val="0"/>
            <w:vAlign w:val="center"/>
          </w:tcPr>
          <w:p w14:paraId="52023637">
            <w:pPr>
              <w:autoSpaceDE w:val="0"/>
              <w:autoSpaceDN w:val="0"/>
              <w:adjustRightInd w:val="0"/>
              <w:snapToGrid w:val="0"/>
              <w:spacing w:line="3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价格得分</w:t>
            </w:r>
          </w:p>
        </w:tc>
        <w:tc>
          <w:tcPr>
            <w:tcW w:w="3188" w:type="pct"/>
            <w:tcBorders>
              <w:top w:val="single" w:color="auto" w:sz="6" w:space="0"/>
              <w:left w:val="single" w:color="auto" w:sz="6" w:space="0"/>
              <w:bottom w:val="single" w:color="auto" w:sz="6" w:space="0"/>
              <w:right w:val="single" w:color="auto" w:sz="6" w:space="0"/>
            </w:tcBorders>
            <w:noWrap w:val="0"/>
            <w:vAlign w:val="center"/>
          </w:tcPr>
          <w:p w14:paraId="3D90A1F2">
            <w:pPr>
              <w:autoSpaceDE w:val="0"/>
              <w:autoSpaceDN w:val="0"/>
              <w:adjustRightInd w:val="0"/>
              <w:snapToGrid w:val="0"/>
              <w:spacing w:line="300" w:lineRule="exact"/>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价格分应当采用低价优先法计算，即满足采购需求且报价最低的为基准价，该项价格得分为满分。其他供应商的价格得分统一按照下列公式计算：供应商价格得分=(基准价／报价)×</w:t>
            </w:r>
            <w:r>
              <w:rPr>
                <w:rFonts w:hint="eastAsia" w:ascii="Times New Roman" w:hAnsi="Times New Roman" w:eastAsia="方正仿宋_GBK" w:cs="Times New Roman"/>
                <w:szCs w:val="21"/>
                <w:lang w:val="en-US" w:eastAsia="zh-CN"/>
              </w:rPr>
              <w:t>20</w:t>
            </w:r>
            <w:r>
              <w:rPr>
                <w:rFonts w:hint="default" w:ascii="Times New Roman" w:hAnsi="Times New Roman" w:eastAsia="方正仿宋_GBK" w:cs="Times New Roman"/>
                <w:szCs w:val="21"/>
              </w:rPr>
              <w:t>，价格得分四舍五入后保留小数点后两位有效数。</w:t>
            </w:r>
            <w:r>
              <w:rPr>
                <w:rFonts w:hint="default" w:ascii="Times New Roman" w:hAnsi="Times New Roman" w:eastAsia="方正仿宋_GBK" w:cs="Times New Roman"/>
                <w:b/>
                <w:szCs w:val="21"/>
              </w:rPr>
              <w:t>（对符合规定的小型和微型企业（监狱企业、残疾人福利单位视同小型、微型企业）报价给予10%的价格扣除。）</w:t>
            </w:r>
          </w:p>
        </w:tc>
        <w:tc>
          <w:tcPr>
            <w:tcW w:w="259" w:type="pct"/>
            <w:tcBorders>
              <w:top w:val="single" w:color="auto" w:sz="6" w:space="0"/>
              <w:left w:val="single" w:color="auto" w:sz="6" w:space="0"/>
              <w:bottom w:val="single" w:color="auto" w:sz="6" w:space="0"/>
              <w:right w:val="single" w:color="auto" w:sz="6" w:space="0"/>
            </w:tcBorders>
            <w:noWrap w:val="0"/>
            <w:vAlign w:val="center"/>
          </w:tcPr>
          <w:p w14:paraId="695569D4">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kern w:val="0"/>
                <w:szCs w:val="21"/>
                <w:lang w:val="en-US" w:eastAsia="zh-CN"/>
              </w:rPr>
            </w:pPr>
            <w:r>
              <w:rPr>
                <w:rFonts w:hint="eastAsia" w:ascii="Times New Roman" w:hAnsi="Times New Roman" w:eastAsia="方正仿宋_GBK" w:cs="Times New Roman"/>
                <w:kern w:val="0"/>
                <w:szCs w:val="21"/>
                <w:lang w:val="en-US" w:eastAsia="zh-CN"/>
              </w:rPr>
              <w:t>20</w:t>
            </w:r>
          </w:p>
        </w:tc>
        <w:tc>
          <w:tcPr>
            <w:tcW w:w="335" w:type="pct"/>
            <w:tcBorders>
              <w:top w:val="single" w:color="auto" w:sz="6" w:space="0"/>
              <w:left w:val="single" w:color="auto" w:sz="6" w:space="0"/>
              <w:bottom w:val="single" w:color="auto" w:sz="6" w:space="0"/>
              <w:right w:val="single" w:color="auto" w:sz="6" w:space="0"/>
            </w:tcBorders>
            <w:noWrap w:val="0"/>
            <w:vAlign w:val="top"/>
          </w:tcPr>
          <w:p w14:paraId="3EEDC6BA">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kern w:val="0"/>
                <w:szCs w:val="21"/>
              </w:rPr>
            </w:pPr>
          </w:p>
        </w:tc>
        <w:tc>
          <w:tcPr>
            <w:tcW w:w="336" w:type="pct"/>
            <w:tcBorders>
              <w:top w:val="single" w:color="auto" w:sz="6" w:space="0"/>
              <w:left w:val="single" w:color="auto" w:sz="6" w:space="0"/>
              <w:bottom w:val="single" w:color="auto" w:sz="6" w:space="0"/>
              <w:right w:val="single" w:color="auto" w:sz="6" w:space="0"/>
            </w:tcBorders>
            <w:noWrap w:val="0"/>
            <w:vAlign w:val="top"/>
          </w:tcPr>
          <w:p w14:paraId="3CA6B5A1">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kern w:val="0"/>
                <w:szCs w:val="21"/>
              </w:rPr>
            </w:pPr>
          </w:p>
        </w:tc>
        <w:tc>
          <w:tcPr>
            <w:tcW w:w="335" w:type="pct"/>
            <w:tcBorders>
              <w:top w:val="single" w:color="auto" w:sz="6" w:space="0"/>
              <w:left w:val="single" w:color="auto" w:sz="6" w:space="0"/>
              <w:bottom w:val="single" w:color="auto" w:sz="6" w:space="0"/>
              <w:right w:val="single" w:color="auto" w:sz="6" w:space="0"/>
            </w:tcBorders>
            <w:noWrap w:val="0"/>
            <w:vAlign w:val="top"/>
          </w:tcPr>
          <w:p w14:paraId="29A07EC9">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kern w:val="0"/>
                <w:szCs w:val="21"/>
              </w:rPr>
            </w:pPr>
          </w:p>
        </w:tc>
      </w:tr>
      <w:tr w14:paraId="0EB04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31" w:type="pct"/>
            <w:gridSpan w:val="3"/>
            <w:tcBorders>
              <w:top w:val="single" w:color="auto" w:sz="6" w:space="0"/>
              <w:left w:val="single" w:color="auto" w:sz="12" w:space="0"/>
              <w:bottom w:val="single" w:color="auto" w:sz="12" w:space="0"/>
              <w:right w:val="single" w:color="auto" w:sz="6" w:space="0"/>
            </w:tcBorders>
            <w:noWrap w:val="0"/>
            <w:vAlign w:val="center"/>
          </w:tcPr>
          <w:p w14:paraId="7DA8F1DD">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b/>
                <w:kern w:val="0"/>
                <w:szCs w:val="21"/>
              </w:rPr>
            </w:pPr>
            <w:r>
              <w:rPr>
                <w:rFonts w:hint="default" w:ascii="Times New Roman" w:hAnsi="Times New Roman" w:eastAsia="方正仿宋_GBK" w:cs="Times New Roman"/>
                <w:b/>
                <w:kern w:val="0"/>
                <w:szCs w:val="21"/>
              </w:rPr>
              <w:t>合计</w:t>
            </w:r>
          </w:p>
        </w:tc>
        <w:tc>
          <w:tcPr>
            <w:tcW w:w="259" w:type="pct"/>
            <w:tcBorders>
              <w:top w:val="single" w:color="auto" w:sz="6" w:space="0"/>
              <w:left w:val="single" w:color="auto" w:sz="6" w:space="0"/>
              <w:bottom w:val="single" w:color="auto" w:sz="12" w:space="0"/>
              <w:right w:val="single" w:color="auto" w:sz="6" w:space="0"/>
            </w:tcBorders>
            <w:noWrap w:val="0"/>
            <w:vAlign w:val="center"/>
          </w:tcPr>
          <w:p w14:paraId="52F1F65B">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b/>
                <w:kern w:val="0"/>
                <w:szCs w:val="21"/>
              </w:rPr>
            </w:pPr>
            <w:r>
              <w:rPr>
                <w:rFonts w:hint="default" w:ascii="Times New Roman" w:hAnsi="Times New Roman" w:eastAsia="方正仿宋_GBK" w:cs="Times New Roman"/>
                <w:b/>
                <w:kern w:val="0"/>
                <w:szCs w:val="21"/>
              </w:rPr>
              <w:t xml:space="preserve">100 </w:t>
            </w:r>
          </w:p>
        </w:tc>
        <w:tc>
          <w:tcPr>
            <w:tcW w:w="335" w:type="pct"/>
            <w:tcBorders>
              <w:top w:val="single" w:color="auto" w:sz="6" w:space="0"/>
              <w:left w:val="single" w:color="auto" w:sz="6" w:space="0"/>
              <w:bottom w:val="single" w:color="auto" w:sz="12" w:space="0"/>
              <w:right w:val="single" w:color="auto" w:sz="6" w:space="0"/>
            </w:tcBorders>
            <w:noWrap w:val="0"/>
            <w:vAlign w:val="top"/>
          </w:tcPr>
          <w:p w14:paraId="64F058E4">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b/>
                <w:kern w:val="0"/>
                <w:szCs w:val="21"/>
              </w:rPr>
            </w:pPr>
          </w:p>
        </w:tc>
        <w:tc>
          <w:tcPr>
            <w:tcW w:w="336" w:type="pct"/>
            <w:tcBorders>
              <w:top w:val="single" w:color="auto" w:sz="6" w:space="0"/>
              <w:left w:val="single" w:color="auto" w:sz="6" w:space="0"/>
              <w:bottom w:val="single" w:color="auto" w:sz="12" w:space="0"/>
              <w:right w:val="single" w:color="auto" w:sz="6" w:space="0"/>
            </w:tcBorders>
            <w:noWrap w:val="0"/>
            <w:vAlign w:val="top"/>
          </w:tcPr>
          <w:p w14:paraId="75D60FC2">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b/>
                <w:kern w:val="0"/>
                <w:szCs w:val="21"/>
              </w:rPr>
            </w:pPr>
          </w:p>
        </w:tc>
        <w:tc>
          <w:tcPr>
            <w:tcW w:w="335" w:type="pct"/>
            <w:tcBorders>
              <w:top w:val="single" w:color="auto" w:sz="6" w:space="0"/>
              <w:left w:val="single" w:color="auto" w:sz="6" w:space="0"/>
              <w:bottom w:val="single" w:color="auto" w:sz="12" w:space="0"/>
              <w:right w:val="single" w:color="auto" w:sz="6" w:space="0"/>
            </w:tcBorders>
            <w:noWrap w:val="0"/>
            <w:vAlign w:val="top"/>
          </w:tcPr>
          <w:p w14:paraId="3EE1F94F">
            <w:pPr>
              <w:autoSpaceDE w:val="0"/>
              <w:autoSpaceDN w:val="0"/>
              <w:adjustRightInd w:val="0"/>
              <w:snapToGrid w:val="0"/>
              <w:spacing w:line="300" w:lineRule="exact"/>
              <w:ind w:left="-78" w:leftChars="-37" w:right="-73" w:rightChars="-35"/>
              <w:jc w:val="center"/>
              <w:rPr>
                <w:rFonts w:hint="default" w:ascii="Times New Roman" w:hAnsi="Times New Roman" w:eastAsia="方正仿宋_GBK" w:cs="Times New Roman"/>
                <w:b/>
                <w:kern w:val="0"/>
                <w:szCs w:val="21"/>
              </w:rPr>
            </w:pPr>
          </w:p>
        </w:tc>
      </w:tr>
    </w:tbl>
    <w:p w14:paraId="322DE51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3000509000000000000"/>
    <w:charset w:val="86"/>
    <w:family w:val="script"/>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6D3AE4"/>
    <w:rsid w:val="0F6D3AE4"/>
    <w:rsid w:val="18FF18CA"/>
    <w:rsid w:val="1B0C0209"/>
    <w:rsid w:val="1F9B6531"/>
    <w:rsid w:val="41716E3A"/>
    <w:rsid w:val="5E9E137D"/>
    <w:rsid w:val="6FFE0C70"/>
    <w:rsid w:val="733C31E2"/>
    <w:rsid w:val="775646F9"/>
    <w:rsid w:val="7C5E0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1251</Words>
  <Characters>1288</Characters>
  <Lines>0</Lines>
  <Paragraphs>0</Paragraphs>
  <TotalTime>4</TotalTime>
  <ScaleCrop>false</ScaleCrop>
  <LinksUpToDate>false</LinksUpToDate>
  <CharactersWithSpaces>1289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2025-06-16T01:53:00Z</dcterms:created>
  <dc:creator>李耀明</dc:creator>
  <cp:lastModifiedBy>SY</cp:lastModifiedBy>
  <dcterms:modified xsi:type="dcterms:W3CDTF">2025-10-22T02:03:00Z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98E7D65DC7FC432CA9906E4AEFA5F550_13</vt:lpwstr>
  </property>
  <property fmtid="{D5CDD505-2E9C-101B-9397-08002B2CF9AE}" pid="4" name="KSOTemplateDocerSaveRecord">
    <vt:lpwstr>eyJoZGlkIjoiMjk0YTIzZjFjZWM2YTUwNTllNDY1MjkxZWM4YzY1ODIiLCJ1c2VySWQiOiIxMTc0MzExMjQ5In0=</vt:lpwstr>
  </property>
</Properties>
</file>