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02AA4">
      <w:pPr>
        <w:tabs>
          <w:tab w:val="center" w:pos="4536"/>
          <w:tab w:val="right" w:pos="9072"/>
        </w:tabs>
        <w:spacing w:line="700" w:lineRule="exact"/>
        <w:contextualSpacing/>
        <w:jc w:val="left"/>
        <w:rPr>
          <w:rFonts w:ascii="宋体" w:hAnsi="宋体" w:eastAsia="宋体"/>
          <w:b/>
          <w:bCs/>
          <w:kern w:val="0"/>
          <w:sz w:val="44"/>
        </w:rPr>
      </w:pPr>
    </w:p>
    <w:p w14:paraId="1A9EA478">
      <w:pPr>
        <w:spacing w:after="313" w:afterLines="50" w:line="700" w:lineRule="exact"/>
        <w:contextualSpacing/>
        <w:jc w:val="right"/>
        <w:rPr>
          <w:kern w:val="0"/>
        </w:rPr>
      </w:pPr>
      <w:r>
        <w:rPr>
          <w:rFonts w:hint="eastAsia"/>
          <w:kern w:val="0"/>
        </w:rPr>
        <w:t>江新环罚〔</w:t>
      </w:r>
      <w:r>
        <w:rPr>
          <w:rFonts w:eastAsia="宋体"/>
          <w:kern w:val="0"/>
        </w:rPr>
        <w:t>20</w:t>
      </w:r>
      <w:r>
        <w:rPr>
          <w:rFonts w:hint="eastAsia" w:eastAsia="宋体"/>
          <w:kern w:val="0"/>
        </w:rPr>
        <w:t>2</w:t>
      </w:r>
      <w:r>
        <w:rPr>
          <w:rFonts w:hint="eastAsia" w:eastAsia="宋体"/>
          <w:kern w:val="0"/>
          <w:lang w:val="en-US" w:eastAsia="zh-CN"/>
        </w:rPr>
        <w:t>5</w:t>
      </w:r>
      <w:r>
        <w:rPr>
          <w:rFonts w:hint="eastAsia"/>
          <w:kern w:val="0"/>
        </w:rPr>
        <w:t>〕</w:t>
      </w:r>
      <w:r>
        <w:rPr>
          <w:rFonts w:hint="eastAsia"/>
          <w:kern w:val="0"/>
          <w:lang w:val="en-US" w:eastAsia="zh-CN"/>
        </w:rPr>
        <w:t>44</w:t>
      </w:r>
      <w:r>
        <w:rPr>
          <w:rFonts w:hint="eastAsia"/>
          <w:kern w:val="0"/>
        </w:rPr>
        <w:t>号</w:t>
      </w:r>
    </w:p>
    <w:p w14:paraId="0F0CBB32">
      <w:pPr>
        <w:keepNext w:val="0"/>
        <w:keepLines w:val="0"/>
        <w:pageBreakBefore w:val="0"/>
        <w:widowControl w:val="0"/>
        <w:kinsoku/>
        <w:wordWrap/>
        <w:overflowPunct/>
        <w:topLinePunct w:val="0"/>
        <w:autoSpaceDE/>
        <w:autoSpaceDN/>
        <w:bidi w:val="0"/>
        <w:adjustRightInd/>
        <w:snapToGrid/>
        <w:spacing w:line="580" w:lineRule="exact"/>
        <w:ind w:right="468"/>
        <w:contextualSpacing/>
        <w:jc w:val="left"/>
        <w:textAlignment w:val="auto"/>
        <w:rPr>
          <w:rFonts w:ascii="仿宋_GB2312"/>
          <w:kern w:val="0"/>
          <w:sz w:val="44"/>
          <w:szCs w:val="44"/>
        </w:rPr>
      </w:pPr>
    </w:p>
    <w:p w14:paraId="1692E4BE">
      <w:pPr>
        <w:keepNext w:val="0"/>
        <w:keepLines w:val="0"/>
        <w:pageBreakBefore w:val="0"/>
        <w:widowControl w:val="0"/>
        <w:tabs>
          <w:tab w:val="center" w:pos="4536"/>
          <w:tab w:val="right" w:pos="9072"/>
        </w:tabs>
        <w:kinsoku/>
        <w:wordWrap/>
        <w:overflowPunct/>
        <w:topLinePunct w:val="0"/>
        <w:autoSpaceDE/>
        <w:autoSpaceDN/>
        <w:bidi w:val="0"/>
        <w:adjustRightInd/>
        <w:snapToGrid/>
        <w:spacing w:line="580" w:lineRule="exact"/>
        <w:contextualSpacing/>
        <w:jc w:val="center"/>
        <w:textAlignment w:val="auto"/>
        <w:rPr>
          <w:rFonts w:ascii="方正小标宋简体" w:hAnsi="方正小标宋简体" w:eastAsia="方正小标宋简体" w:cs="方正小标宋简体"/>
          <w:bCs/>
          <w:kern w:val="0"/>
          <w:sz w:val="44"/>
        </w:rPr>
      </w:pPr>
      <w:r>
        <w:rPr>
          <w:rFonts w:hint="eastAsia" w:ascii="方正小标宋简体" w:hAnsi="方正小标宋简体" w:eastAsia="方正小标宋简体" w:cs="方正小标宋简体"/>
          <w:bCs/>
          <w:kern w:val="0"/>
          <w:sz w:val="44"/>
        </w:rPr>
        <w:t>行政处罚决定书</w:t>
      </w:r>
    </w:p>
    <w:p w14:paraId="7DF869AD">
      <w:pPr>
        <w:keepNext w:val="0"/>
        <w:keepLines w:val="0"/>
        <w:pageBreakBefore w:val="0"/>
        <w:widowControl w:val="0"/>
        <w:kinsoku/>
        <w:wordWrap/>
        <w:overflowPunct/>
        <w:topLinePunct w:val="0"/>
        <w:autoSpaceDE/>
        <w:autoSpaceDN/>
        <w:bidi w:val="0"/>
        <w:adjustRightInd/>
        <w:snapToGrid/>
        <w:spacing w:line="580" w:lineRule="exact"/>
        <w:ind w:left="1247" w:hanging="1248" w:hangingChars="400"/>
        <w:contextualSpacing/>
        <w:textAlignment w:val="auto"/>
        <w:rPr>
          <w:rFonts w:ascii="仿宋_GB2312"/>
          <w:szCs w:val="32"/>
        </w:rPr>
      </w:pPr>
    </w:p>
    <w:p w14:paraId="0BB26370">
      <w:pPr>
        <w:keepNext w:val="0"/>
        <w:keepLines w:val="0"/>
        <w:pageBreakBefore w:val="0"/>
        <w:widowControl w:val="0"/>
        <w:kinsoku/>
        <w:wordWrap/>
        <w:overflowPunct/>
        <w:topLinePunct w:val="0"/>
        <w:autoSpaceDE/>
        <w:autoSpaceDN/>
        <w:bidi w:val="0"/>
        <w:adjustRightInd/>
        <w:snapToGrid/>
        <w:spacing w:line="540" w:lineRule="exact"/>
        <w:ind w:left="1077" w:leftChars="200" w:hanging="453" w:hangingChars="145"/>
        <w:textAlignment w:val="auto"/>
        <w:rPr>
          <w:rFonts w:hint="eastAsia" w:ascii="仿宋_GB2312"/>
          <w:szCs w:val="32"/>
          <w:lang w:val="en-US" w:eastAsia="zh-CN"/>
        </w:rPr>
      </w:pPr>
      <w:r>
        <w:rPr>
          <w:rFonts w:hint="eastAsia" w:ascii="仿宋_GB2312"/>
          <w:szCs w:val="32"/>
        </w:rPr>
        <w:t>当事人：</w:t>
      </w:r>
      <w:r>
        <w:rPr>
          <w:rFonts w:hint="eastAsia" w:ascii="仿宋_GB2312"/>
          <w:szCs w:val="32"/>
          <w:lang w:val="en-US" w:eastAsia="zh-CN"/>
        </w:rPr>
        <w:t>广东弘创智能五金有限公司</w:t>
      </w:r>
    </w:p>
    <w:p w14:paraId="6C49C80A">
      <w:pPr>
        <w:keepNext w:val="0"/>
        <w:keepLines w:val="0"/>
        <w:pageBreakBefore w:val="0"/>
        <w:widowControl w:val="0"/>
        <w:kinsoku/>
        <w:wordWrap/>
        <w:overflowPunct/>
        <w:topLinePunct w:val="0"/>
        <w:autoSpaceDE/>
        <w:autoSpaceDN/>
        <w:bidi w:val="0"/>
        <w:adjustRightInd/>
        <w:snapToGrid/>
        <w:spacing w:line="540" w:lineRule="exact"/>
        <w:ind w:left="1077" w:leftChars="200" w:hanging="453" w:hangingChars="145"/>
        <w:textAlignment w:val="auto"/>
        <w:rPr>
          <w:rFonts w:hint="eastAsia" w:ascii="仿宋_GB2312" w:eastAsia="仿宋_GB2312"/>
          <w:szCs w:val="32"/>
          <w:lang w:val="en-US" w:eastAsia="zh-CN"/>
        </w:rPr>
      </w:pPr>
      <w:r>
        <w:rPr>
          <w:rFonts w:hint="eastAsia" w:ascii="仿宋_GB2312"/>
          <w:szCs w:val="32"/>
        </w:rPr>
        <w:t>统一社会信用代码：</w:t>
      </w:r>
      <w:r>
        <w:rPr>
          <w:rFonts w:hint="eastAsia"/>
          <w:kern w:val="0"/>
          <w:lang w:val="en-US" w:eastAsia="zh-CN"/>
        </w:rPr>
        <w:t>91440705MA7FXXNA1W</w:t>
      </w:r>
    </w:p>
    <w:p w14:paraId="48CACB7E">
      <w:pPr>
        <w:keepNext w:val="0"/>
        <w:keepLines w:val="0"/>
        <w:pageBreakBefore w:val="0"/>
        <w:widowControl w:val="0"/>
        <w:kinsoku/>
        <w:wordWrap/>
        <w:overflowPunct/>
        <w:topLinePunct w:val="0"/>
        <w:autoSpaceDE/>
        <w:autoSpaceDN/>
        <w:bidi w:val="0"/>
        <w:adjustRightInd/>
        <w:snapToGrid/>
        <w:spacing w:line="540" w:lineRule="exact"/>
        <w:ind w:left="2130" w:leftChars="190" w:hanging="1538" w:hangingChars="493"/>
        <w:textAlignment w:val="auto"/>
        <w:rPr>
          <w:rFonts w:hint="eastAsia" w:ascii="仿宋_GB2312" w:eastAsia="仿宋_GB2312"/>
          <w:spacing w:val="-6"/>
          <w:sz w:val="32"/>
          <w:szCs w:val="32"/>
          <w:lang w:val="en-US" w:eastAsia="zh-CN"/>
        </w:rPr>
      </w:pPr>
      <w:r>
        <w:rPr>
          <w:rFonts w:hint="eastAsia" w:ascii="仿宋_GB2312"/>
          <w:szCs w:val="32"/>
        </w:rPr>
        <w:t>经营场所：</w:t>
      </w:r>
      <w:r>
        <w:rPr>
          <w:rFonts w:hint="eastAsia" w:ascii="仿宋_GB2312"/>
          <w:spacing w:val="-6"/>
          <w:sz w:val="32"/>
          <w:szCs w:val="32"/>
          <w:lang w:val="en-US" w:eastAsia="zh-CN"/>
        </w:rPr>
        <w:t>江门市新会区三江镇利生六路</w:t>
      </w:r>
      <w:r>
        <w:rPr>
          <w:rFonts w:hint="eastAsia"/>
          <w:kern w:val="0"/>
          <w:lang w:val="en-US" w:eastAsia="zh-CN"/>
        </w:rPr>
        <w:t>6</w:t>
      </w:r>
      <w:r>
        <w:rPr>
          <w:rFonts w:hint="eastAsia" w:ascii="仿宋_GB2312"/>
          <w:spacing w:val="-6"/>
          <w:sz w:val="32"/>
          <w:szCs w:val="32"/>
          <w:lang w:val="en-US" w:eastAsia="zh-CN"/>
        </w:rPr>
        <w:t>号</w:t>
      </w:r>
    </w:p>
    <w:p w14:paraId="6B72C448">
      <w:pPr>
        <w:keepNext w:val="0"/>
        <w:keepLines w:val="0"/>
        <w:pageBreakBefore w:val="0"/>
        <w:widowControl w:val="0"/>
        <w:kinsoku/>
        <w:wordWrap/>
        <w:overflowPunct/>
        <w:topLinePunct w:val="0"/>
        <w:autoSpaceDE/>
        <w:autoSpaceDN/>
        <w:bidi w:val="0"/>
        <w:adjustRightInd/>
        <w:snapToGrid/>
        <w:spacing w:line="540" w:lineRule="exact"/>
        <w:ind w:left="1077" w:leftChars="200" w:hanging="453" w:hangingChars="145"/>
        <w:textAlignment w:val="auto"/>
        <w:rPr>
          <w:rFonts w:hint="default" w:ascii="仿宋_GB2312" w:eastAsia="仿宋_GB2312"/>
          <w:szCs w:val="32"/>
          <w:lang w:val="en-US" w:eastAsia="zh-CN"/>
        </w:rPr>
      </w:pPr>
      <w:r>
        <w:rPr>
          <w:rFonts w:hint="eastAsia" w:ascii="仿宋_GB2312"/>
          <w:szCs w:val="32"/>
          <w:lang w:val="en-US" w:eastAsia="zh-CN"/>
        </w:rPr>
        <w:t>法定代表人：叶杰俊</w:t>
      </w:r>
    </w:p>
    <w:p w14:paraId="173A1116">
      <w:pPr>
        <w:keepNext w:val="0"/>
        <w:keepLines w:val="0"/>
        <w:pageBreakBefore w:val="0"/>
        <w:widowControl w:val="0"/>
        <w:kinsoku/>
        <w:wordWrap/>
        <w:overflowPunct/>
        <w:topLinePunct w:val="0"/>
        <w:autoSpaceDE/>
        <w:autoSpaceDN/>
        <w:bidi w:val="0"/>
        <w:adjustRightInd/>
        <w:snapToGrid/>
        <w:spacing w:line="520" w:lineRule="exact"/>
        <w:ind w:left="1077" w:leftChars="200" w:hanging="453" w:hangingChars="145"/>
        <w:textAlignment w:val="auto"/>
        <w:rPr>
          <w:rFonts w:hint="eastAsia" w:ascii="仿宋_GB2312"/>
          <w:szCs w:val="32"/>
        </w:rPr>
      </w:pPr>
    </w:p>
    <w:p w14:paraId="656AB701">
      <w:pPr>
        <w:keepNext w:val="0"/>
        <w:keepLines w:val="0"/>
        <w:pageBreakBefore w:val="0"/>
        <w:widowControl w:val="0"/>
        <w:kinsoku/>
        <w:wordWrap/>
        <w:overflowPunct/>
        <w:topLinePunct w:val="0"/>
        <w:autoSpaceDE/>
        <w:autoSpaceDN/>
        <w:bidi w:val="0"/>
        <w:adjustRightInd/>
        <w:snapToGrid/>
        <w:spacing w:line="520" w:lineRule="exact"/>
        <w:ind w:firstLine="624" w:firstLineChars="200"/>
        <w:textAlignment w:val="auto"/>
        <w:rPr>
          <w:rFonts w:ascii="仿宋_GB2312"/>
          <w:szCs w:val="32"/>
        </w:rPr>
      </w:pPr>
      <w:r>
        <w:rPr>
          <w:rFonts w:hint="eastAsia" w:ascii="仿宋_GB2312"/>
          <w:szCs w:val="32"/>
          <w:lang w:val="en-US" w:eastAsia="zh-CN"/>
        </w:rPr>
        <w:t>广东弘创智能五金有限公司</w:t>
      </w:r>
      <w:r>
        <w:rPr>
          <w:rFonts w:hint="eastAsia" w:ascii="仿宋" w:hAnsi="仿宋" w:eastAsia="仿宋" w:cs="仿宋"/>
          <w:szCs w:val="32"/>
        </w:rPr>
        <w:t>环境违法一案，我局经过调查，现已审查终结。</w:t>
      </w:r>
    </w:p>
    <w:p w14:paraId="1888ADCE">
      <w:pPr>
        <w:pStyle w:val="2"/>
        <w:keepNext w:val="0"/>
        <w:keepLines w:val="0"/>
        <w:pageBreakBefore w:val="0"/>
        <w:widowControl w:val="0"/>
        <w:kinsoku/>
        <w:wordWrap/>
        <w:overflowPunct/>
        <w:topLinePunct w:val="0"/>
        <w:autoSpaceDE/>
        <w:autoSpaceDN/>
        <w:bidi w:val="0"/>
        <w:adjustRightInd/>
        <w:snapToGrid/>
        <w:spacing w:before="313" w:beforeLines="50" w:line="510" w:lineRule="exact"/>
        <w:ind w:firstLine="624" w:firstLineChars="200"/>
        <w:jc w:val="both"/>
        <w:textAlignment w:val="auto"/>
        <w:rPr>
          <w:rFonts w:hint="eastAsia" w:ascii="仿宋" w:hAnsi="仿宋" w:eastAsia="仿宋" w:cs="仿宋"/>
          <w:b/>
          <w:sz w:val="32"/>
          <w:szCs w:val="32"/>
        </w:rPr>
      </w:pPr>
      <w:r>
        <w:rPr>
          <w:rFonts w:hint="eastAsia" w:ascii="仿宋" w:hAnsi="仿宋" w:eastAsia="仿宋" w:cs="仿宋"/>
          <w:b/>
          <w:sz w:val="32"/>
          <w:szCs w:val="32"/>
        </w:rPr>
        <w:t>一、环境违法事实和证据</w:t>
      </w:r>
    </w:p>
    <w:p w14:paraId="502AA13F">
      <w:pPr>
        <w:keepNext w:val="0"/>
        <w:keepLines w:val="0"/>
        <w:pageBreakBefore w:val="0"/>
        <w:widowControl w:val="0"/>
        <w:kinsoku/>
        <w:wordWrap/>
        <w:overflowPunct/>
        <w:topLinePunct w:val="0"/>
        <w:autoSpaceDE/>
        <w:autoSpaceDN/>
        <w:bidi w:val="0"/>
        <w:adjustRightInd/>
        <w:snapToGrid/>
        <w:spacing w:line="510" w:lineRule="exact"/>
        <w:ind w:firstLine="624" w:firstLineChars="200"/>
        <w:textAlignment w:val="auto"/>
        <w:rPr>
          <w:rFonts w:ascii="仿宋" w:hAnsi="仿宋" w:eastAsia="仿宋" w:cs="仿宋"/>
          <w:szCs w:val="32"/>
        </w:rPr>
      </w:pPr>
      <w:r>
        <w:rPr>
          <w:rFonts w:hint="eastAsia"/>
          <w:kern w:val="0"/>
          <w:lang w:val="en-US" w:eastAsia="zh-CN"/>
        </w:rPr>
        <w:t>2025</w:t>
      </w:r>
      <w:r>
        <w:rPr>
          <w:rFonts w:hint="eastAsia" w:ascii="仿宋_GB2312" w:hAnsi="仿宋_GB2312" w:cs="仿宋_GB2312"/>
          <w:szCs w:val="32"/>
        </w:rPr>
        <w:t>年</w:t>
      </w:r>
      <w:r>
        <w:rPr>
          <w:rFonts w:hint="eastAsia"/>
          <w:kern w:val="0"/>
          <w:lang w:val="en-US" w:eastAsia="zh-CN"/>
        </w:rPr>
        <w:t>7</w:t>
      </w:r>
      <w:r>
        <w:rPr>
          <w:rFonts w:hint="eastAsia" w:ascii="仿宋_GB2312" w:hAnsi="仿宋_GB2312" w:cs="仿宋_GB2312"/>
          <w:szCs w:val="32"/>
          <w:lang w:val="en-US" w:eastAsia="zh-CN"/>
        </w:rPr>
        <w:t>月</w:t>
      </w:r>
      <w:r>
        <w:rPr>
          <w:rFonts w:hint="eastAsia" w:ascii="仿宋" w:hAnsi="仿宋" w:eastAsia="仿宋" w:cs="仿宋"/>
          <w:szCs w:val="32"/>
        </w:rPr>
        <w:t>，我局执法人员对</w:t>
      </w:r>
      <w:r>
        <w:rPr>
          <w:rFonts w:hint="eastAsia" w:ascii="仿宋_GB2312"/>
          <w:szCs w:val="32"/>
          <w:lang w:val="en-US" w:eastAsia="zh-CN"/>
        </w:rPr>
        <w:t>广东弘创智能五金有限公司</w:t>
      </w:r>
      <w:r>
        <w:rPr>
          <w:rFonts w:hint="eastAsia" w:ascii="仿宋" w:hAnsi="仿宋" w:eastAsia="仿宋" w:cs="仿宋"/>
          <w:szCs w:val="32"/>
        </w:rPr>
        <w:t>进行的现场检查和调查发现：</w:t>
      </w:r>
    </w:p>
    <w:p w14:paraId="6D0C1354">
      <w:pPr>
        <w:keepNext w:val="0"/>
        <w:keepLines w:val="0"/>
        <w:pageBreakBefore w:val="0"/>
        <w:widowControl w:val="0"/>
        <w:kinsoku/>
        <w:wordWrap/>
        <w:overflowPunct/>
        <w:topLinePunct w:val="0"/>
        <w:autoSpaceDE/>
        <w:autoSpaceDN/>
        <w:bidi w:val="0"/>
        <w:adjustRightInd/>
        <w:snapToGrid/>
        <w:spacing w:line="510" w:lineRule="exact"/>
        <w:ind w:firstLine="624" w:firstLineChars="200"/>
        <w:textAlignment w:val="auto"/>
        <w:rPr>
          <w:rFonts w:hint="eastAsia" w:ascii="仿宋_GB2312"/>
          <w:color w:val="000000"/>
          <w:szCs w:val="32"/>
        </w:rPr>
      </w:pPr>
      <w:r>
        <w:rPr>
          <w:rFonts w:hint="eastAsia" w:ascii="仿宋_GB2312"/>
          <w:color w:val="000000"/>
          <w:szCs w:val="32"/>
          <w:lang w:val="en-US" w:eastAsia="zh-CN"/>
        </w:rPr>
        <w:t>你单位未按法律、行政法规和国务院环境保护主管部门的规定设置排污口。</w:t>
      </w:r>
    </w:p>
    <w:p w14:paraId="626D4351">
      <w:pPr>
        <w:keepNext w:val="0"/>
        <w:keepLines w:val="0"/>
        <w:pageBreakBefore w:val="0"/>
        <w:widowControl w:val="0"/>
        <w:kinsoku/>
        <w:wordWrap/>
        <w:overflowPunct/>
        <w:topLinePunct w:val="0"/>
        <w:autoSpaceDE/>
        <w:autoSpaceDN/>
        <w:bidi w:val="0"/>
        <w:adjustRightInd/>
        <w:snapToGrid/>
        <w:spacing w:line="510" w:lineRule="exact"/>
        <w:ind w:firstLine="624" w:firstLineChars="200"/>
        <w:textAlignment w:val="auto"/>
        <w:rPr>
          <w:rFonts w:hint="eastAsia"/>
          <w:szCs w:val="32"/>
        </w:rPr>
      </w:pPr>
      <w:r>
        <w:rPr>
          <w:rFonts w:hint="eastAsia" w:ascii="仿宋_GB2312"/>
          <w:szCs w:val="32"/>
        </w:rPr>
        <w:t>以上事实，有当事人签名确认的《江门市生态环境局现场检查（勘察）记录》《江门市生态环境局调查询问笔录》，你单位提交的《固定污染源排污登记回执》（登记编号：</w:t>
      </w:r>
      <w:r>
        <w:rPr>
          <w:rFonts w:hint="eastAsia"/>
          <w:kern w:val="0"/>
          <w:lang w:val="en-US" w:eastAsia="zh-CN"/>
        </w:rPr>
        <w:t>91440705MA7FXXNA1W001X</w:t>
      </w:r>
      <w:r>
        <w:rPr>
          <w:rFonts w:hint="eastAsia" w:ascii="仿宋_GB2312"/>
          <w:szCs w:val="32"/>
        </w:rPr>
        <w:t>）《广东弘创智能五金有限公司年产铝五金制品</w:t>
      </w:r>
      <w:r>
        <w:rPr>
          <w:rFonts w:hint="eastAsia"/>
          <w:kern w:val="0"/>
          <w:lang w:val="en-US" w:eastAsia="zh-CN"/>
        </w:rPr>
        <w:t>71000</w:t>
      </w:r>
      <w:r>
        <w:rPr>
          <w:rFonts w:hint="eastAsia" w:ascii="仿宋_GB2312"/>
          <w:szCs w:val="32"/>
        </w:rPr>
        <w:t>件、智能设备</w:t>
      </w:r>
      <w:r>
        <w:rPr>
          <w:rFonts w:hint="eastAsia"/>
          <w:kern w:val="0"/>
          <w:lang w:val="en-US" w:eastAsia="zh-CN"/>
        </w:rPr>
        <w:t>50000</w:t>
      </w:r>
      <w:r>
        <w:rPr>
          <w:rFonts w:hint="eastAsia" w:ascii="仿宋_GB2312"/>
          <w:szCs w:val="32"/>
        </w:rPr>
        <w:t>台新建项目（一期）竣工环境保护验收监测报告表》，江门市新会区环境监测站出具的监测报告{（新）环境监测（</w:t>
      </w:r>
      <w:r>
        <w:rPr>
          <w:rFonts w:hint="eastAsia"/>
          <w:kern w:val="0"/>
          <w:lang w:val="en-US" w:eastAsia="zh-CN"/>
        </w:rPr>
        <w:t>2025</w:t>
      </w:r>
      <w:r>
        <w:rPr>
          <w:rFonts w:hint="eastAsia" w:ascii="仿宋_GB2312"/>
          <w:szCs w:val="32"/>
        </w:rPr>
        <w:t>）第</w:t>
      </w:r>
      <w:r>
        <w:rPr>
          <w:rFonts w:hint="eastAsia"/>
          <w:kern w:val="0"/>
          <w:lang w:val="en-US" w:eastAsia="zh-CN"/>
        </w:rPr>
        <w:t>07310028</w:t>
      </w:r>
      <w:r>
        <w:rPr>
          <w:rFonts w:hint="eastAsia" w:ascii="仿宋_GB2312"/>
          <w:szCs w:val="32"/>
        </w:rPr>
        <w:t>号}和我局执法人员现场拍摄的照片等证据为证。</w:t>
      </w:r>
    </w:p>
    <w:p w14:paraId="61CC9A18">
      <w:pPr>
        <w:keepNext w:val="0"/>
        <w:keepLines w:val="0"/>
        <w:pageBreakBefore w:val="0"/>
        <w:widowControl w:val="0"/>
        <w:kinsoku/>
        <w:wordWrap/>
        <w:overflowPunct/>
        <w:topLinePunct w:val="0"/>
        <w:autoSpaceDE/>
        <w:autoSpaceDN/>
        <w:bidi w:val="0"/>
        <w:adjustRightInd/>
        <w:snapToGrid/>
        <w:spacing w:line="510" w:lineRule="exact"/>
        <w:ind w:firstLine="624" w:firstLineChars="200"/>
        <w:textAlignment w:val="auto"/>
        <w:rPr>
          <w:rFonts w:ascii="仿宋" w:hAnsi="仿宋" w:eastAsia="仿宋" w:cs="仿宋"/>
          <w:szCs w:val="32"/>
        </w:rPr>
      </w:pPr>
      <w:r>
        <w:rPr>
          <w:rFonts w:hint="eastAsia" w:ascii="仿宋" w:hAnsi="仿宋" w:eastAsia="仿宋" w:cs="仿宋"/>
          <w:szCs w:val="32"/>
        </w:rPr>
        <w:t>你单位的上述行为违反了</w:t>
      </w:r>
      <w:r>
        <w:rPr>
          <w:rFonts w:hint="eastAsia" w:ascii="仿宋_GB2312"/>
        </w:rPr>
        <w:t>《</w:t>
      </w:r>
      <w:r>
        <w:rPr>
          <w:rFonts w:hint="eastAsia" w:ascii="仿宋_GB2312"/>
          <w:lang w:val="en-US" w:eastAsia="zh-CN"/>
        </w:rPr>
        <w:t>中华人民共和国水污染防治法</w:t>
      </w:r>
      <w:r>
        <w:rPr>
          <w:rFonts w:hint="eastAsia" w:ascii="仿宋_GB2312"/>
        </w:rPr>
        <w:t>》第</w:t>
      </w:r>
      <w:r>
        <w:rPr>
          <w:rFonts w:hint="eastAsia" w:ascii="仿宋_GB2312"/>
          <w:lang w:val="en-US" w:eastAsia="zh-CN"/>
        </w:rPr>
        <w:t>二十二</w:t>
      </w:r>
      <w:r>
        <w:rPr>
          <w:rFonts w:hint="eastAsia" w:ascii="仿宋_GB2312"/>
        </w:rPr>
        <w:t>条的规定</w:t>
      </w:r>
      <w:r>
        <w:rPr>
          <w:rFonts w:hint="eastAsia" w:ascii="仿宋" w:hAnsi="仿宋" w:eastAsia="仿宋" w:cs="仿宋"/>
          <w:szCs w:val="32"/>
        </w:rPr>
        <w:t>，依法应当予以处罚。</w:t>
      </w:r>
    </w:p>
    <w:p w14:paraId="36F1F2D1">
      <w:pPr>
        <w:keepNext w:val="0"/>
        <w:keepLines w:val="0"/>
        <w:pageBreakBefore w:val="0"/>
        <w:widowControl w:val="0"/>
        <w:kinsoku/>
        <w:wordWrap/>
        <w:overflowPunct/>
        <w:topLinePunct w:val="0"/>
        <w:autoSpaceDE/>
        <w:autoSpaceDN/>
        <w:bidi w:val="0"/>
        <w:adjustRightInd/>
        <w:snapToGrid/>
        <w:spacing w:line="510" w:lineRule="exact"/>
        <w:ind w:firstLine="624" w:firstLineChars="200"/>
        <w:textAlignment w:val="auto"/>
        <w:rPr>
          <w:rFonts w:hint="default" w:ascii="仿宋" w:hAnsi="仿宋" w:eastAsia="仿宋" w:cs="仿宋"/>
          <w:szCs w:val="32"/>
          <w:lang w:val="en-US" w:eastAsia="zh-CN"/>
        </w:rPr>
      </w:pPr>
      <w:r>
        <w:rPr>
          <w:rFonts w:hint="eastAsia" w:ascii="仿宋" w:hAnsi="仿宋" w:eastAsia="仿宋" w:cs="仿宋"/>
          <w:szCs w:val="32"/>
        </w:rPr>
        <w:t>我局于</w:t>
      </w:r>
      <w:r>
        <w:rPr>
          <w:rFonts w:hint="eastAsia"/>
          <w:kern w:val="0"/>
          <w:lang w:val="en-US" w:eastAsia="zh-CN"/>
        </w:rPr>
        <w:t>2025</w:t>
      </w:r>
      <w:r>
        <w:rPr>
          <w:rFonts w:hint="eastAsia" w:ascii="仿宋" w:hAnsi="仿宋" w:eastAsia="仿宋" w:cs="仿宋"/>
          <w:szCs w:val="32"/>
        </w:rPr>
        <w:t>年</w:t>
      </w:r>
      <w:r>
        <w:rPr>
          <w:rFonts w:hint="eastAsia"/>
          <w:kern w:val="0"/>
          <w:lang w:val="en-US" w:eastAsia="zh-CN"/>
        </w:rPr>
        <w:t>8</w:t>
      </w:r>
      <w:r>
        <w:rPr>
          <w:rFonts w:hint="eastAsia" w:ascii="仿宋" w:hAnsi="仿宋" w:eastAsia="仿宋" w:cs="仿宋"/>
          <w:szCs w:val="32"/>
        </w:rPr>
        <w:t>月</w:t>
      </w:r>
      <w:r>
        <w:rPr>
          <w:rFonts w:hint="eastAsia"/>
          <w:kern w:val="0"/>
          <w:lang w:val="en-US" w:eastAsia="zh-CN"/>
        </w:rPr>
        <w:t>28</w:t>
      </w:r>
      <w:r>
        <w:rPr>
          <w:rFonts w:hint="eastAsia" w:ascii="仿宋" w:hAnsi="仿宋" w:eastAsia="仿宋" w:cs="仿宋"/>
          <w:szCs w:val="32"/>
        </w:rPr>
        <w:t>日告知你单位违法事实、处罚依据和拟作出的处罚决定，并</w:t>
      </w:r>
      <w:r>
        <w:rPr>
          <w:rFonts w:hint="eastAsia" w:ascii="仿宋" w:hAnsi="仿宋" w:eastAsia="仿宋" w:cs="仿宋"/>
          <w:sz w:val="32"/>
          <w:szCs w:val="32"/>
        </w:rPr>
        <w:t>告知你单位有权进行陈述申辩。你单位未提出陈述申辩</w:t>
      </w:r>
      <w:r>
        <w:rPr>
          <w:rFonts w:hint="eastAsia" w:ascii="仿宋" w:hAnsi="仿宋" w:eastAsia="仿宋" w:cs="仿宋"/>
          <w:szCs w:val="32"/>
        </w:rPr>
        <w:t>。</w:t>
      </w:r>
    </w:p>
    <w:p w14:paraId="796EC7E1">
      <w:pPr>
        <w:keepNext w:val="0"/>
        <w:keepLines w:val="0"/>
        <w:pageBreakBefore w:val="0"/>
        <w:widowControl w:val="0"/>
        <w:kinsoku/>
        <w:wordWrap/>
        <w:overflowPunct/>
        <w:topLinePunct w:val="0"/>
        <w:autoSpaceDE/>
        <w:autoSpaceDN/>
        <w:bidi w:val="0"/>
        <w:adjustRightInd/>
        <w:snapToGrid/>
        <w:spacing w:line="510" w:lineRule="exact"/>
        <w:ind w:firstLine="624" w:firstLineChars="200"/>
        <w:textAlignment w:val="auto"/>
        <w:rPr>
          <w:rFonts w:ascii="仿宋" w:hAnsi="仿宋" w:eastAsia="仿宋" w:cs="仿宋"/>
          <w:szCs w:val="32"/>
        </w:rPr>
      </w:pPr>
      <w:r>
        <w:rPr>
          <w:rFonts w:hint="eastAsia" w:ascii="仿宋" w:hAnsi="仿宋" w:eastAsia="仿宋" w:cs="仿宋"/>
          <w:szCs w:val="32"/>
        </w:rPr>
        <w:t>以上事实，有我局</w:t>
      </w:r>
      <w:r>
        <w:rPr>
          <w:rFonts w:hint="eastAsia"/>
          <w:kern w:val="0"/>
          <w:lang w:val="en-US" w:eastAsia="zh-CN"/>
        </w:rPr>
        <w:t>2025</w:t>
      </w:r>
      <w:r>
        <w:rPr>
          <w:rFonts w:hint="eastAsia" w:ascii="仿宋" w:hAnsi="仿宋" w:eastAsia="仿宋" w:cs="仿宋"/>
          <w:szCs w:val="32"/>
        </w:rPr>
        <w:t>年</w:t>
      </w:r>
      <w:r>
        <w:rPr>
          <w:rFonts w:hint="eastAsia"/>
          <w:kern w:val="0"/>
          <w:lang w:val="en-US" w:eastAsia="zh-CN"/>
        </w:rPr>
        <w:t>8</w:t>
      </w:r>
      <w:r>
        <w:rPr>
          <w:rFonts w:hint="eastAsia" w:ascii="仿宋" w:hAnsi="仿宋" w:eastAsia="仿宋" w:cs="仿宋"/>
          <w:szCs w:val="32"/>
        </w:rPr>
        <w:t>月</w:t>
      </w:r>
      <w:r>
        <w:rPr>
          <w:rFonts w:hint="eastAsia"/>
          <w:kern w:val="0"/>
          <w:lang w:val="en-US" w:eastAsia="zh-CN"/>
        </w:rPr>
        <w:t>26</w:t>
      </w:r>
      <w:r>
        <w:rPr>
          <w:rFonts w:hint="eastAsia" w:ascii="仿宋" w:hAnsi="仿宋" w:eastAsia="仿宋" w:cs="仿宋"/>
          <w:szCs w:val="32"/>
        </w:rPr>
        <w:t>日《行政处罚</w:t>
      </w:r>
      <w:r>
        <w:rPr>
          <w:rFonts w:hint="eastAsia" w:ascii="仿宋" w:hAnsi="仿宋" w:eastAsia="仿宋" w:cs="仿宋"/>
          <w:szCs w:val="32"/>
          <w:lang w:val="en-US" w:eastAsia="zh-CN"/>
        </w:rPr>
        <w:t>事先</w:t>
      </w:r>
      <w:r>
        <w:rPr>
          <w:rFonts w:hint="eastAsia" w:ascii="仿宋" w:hAnsi="仿宋" w:eastAsia="仿宋" w:cs="仿宋"/>
          <w:szCs w:val="32"/>
        </w:rPr>
        <w:t>告知书》（江新环罚告〔</w:t>
      </w:r>
      <w:r>
        <w:rPr>
          <w:rFonts w:hint="eastAsia"/>
          <w:kern w:val="0"/>
          <w:lang w:val="en-US" w:eastAsia="zh-CN"/>
        </w:rPr>
        <w:t>2025</w:t>
      </w:r>
      <w:r>
        <w:rPr>
          <w:rFonts w:hint="eastAsia" w:ascii="仿宋" w:hAnsi="仿宋" w:eastAsia="仿宋" w:cs="仿宋"/>
          <w:szCs w:val="32"/>
        </w:rPr>
        <w:t>〕</w:t>
      </w:r>
      <w:r>
        <w:rPr>
          <w:rFonts w:hint="eastAsia"/>
          <w:kern w:val="0"/>
          <w:lang w:val="en-US" w:eastAsia="zh-CN"/>
        </w:rPr>
        <w:t>37</w:t>
      </w:r>
      <w:r>
        <w:rPr>
          <w:rFonts w:hint="eastAsia" w:ascii="仿宋" w:hAnsi="仿宋" w:eastAsia="仿宋" w:cs="仿宋"/>
          <w:szCs w:val="32"/>
        </w:rPr>
        <w:t>号）及</w:t>
      </w:r>
      <w:r>
        <w:rPr>
          <w:rFonts w:hint="eastAsia"/>
          <w:kern w:val="0"/>
          <w:lang w:val="en-US" w:eastAsia="zh-CN"/>
        </w:rPr>
        <w:t>2025</w:t>
      </w:r>
      <w:r>
        <w:rPr>
          <w:rFonts w:hint="eastAsia" w:ascii="仿宋" w:hAnsi="仿宋" w:eastAsia="仿宋" w:cs="仿宋"/>
          <w:szCs w:val="32"/>
        </w:rPr>
        <w:t>年</w:t>
      </w:r>
      <w:r>
        <w:rPr>
          <w:rFonts w:hint="eastAsia"/>
          <w:kern w:val="0"/>
          <w:lang w:val="en-US" w:eastAsia="zh-CN"/>
        </w:rPr>
        <w:t>8</w:t>
      </w:r>
      <w:r>
        <w:rPr>
          <w:rFonts w:hint="eastAsia" w:ascii="仿宋" w:hAnsi="仿宋" w:eastAsia="仿宋" w:cs="仿宋"/>
          <w:szCs w:val="32"/>
        </w:rPr>
        <w:t>月</w:t>
      </w:r>
      <w:r>
        <w:rPr>
          <w:rFonts w:hint="eastAsia"/>
          <w:kern w:val="0"/>
          <w:lang w:val="en-US" w:eastAsia="zh-CN"/>
        </w:rPr>
        <w:t>28</w:t>
      </w:r>
      <w:r>
        <w:rPr>
          <w:rFonts w:hint="eastAsia" w:ascii="仿宋" w:hAnsi="仿宋" w:eastAsia="仿宋" w:cs="仿宋"/>
          <w:szCs w:val="32"/>
        </w:rPr>
        <w:t>日送达回执为证。</w:t>
      </w:r>
    </w:p>
    <w:p w14:paraId="45E2CDD6">
      <w:pPr>
        <w:pStyle w:val="2"/>
        <w:keepNext w:val="0"/>
        <w:keepLines w:val="0"/>
        <w:pageBreakBefore w:val="0"/>
        <w:widowControl w:val="0"/>
        <w:kinsoku/>
        <w:wordWrap/>
        <w:overflowPunct/>
        <w:topLinePunct w:val="0"/>
        <w:autoSpaceDE/>
        <w:autoSpaceDN/>
        <w:bidi w:val="0"/>
        <w:adjustRightInd/>
        <w:snapToGrid/>
        <w:spacing w:before="313" w:beforeLines="50" w:line="510" w:lineRule="exact"/>
        <w:ind w:firstLine="624" w:firstLineChars="200"/>
        <w:jc w:val="both"/>
        <w:textAlignment w:val="auto"/>
        <w:rPr>
          <w:rFonts w:hint="eastAsia" w:ascii="仿宋" w:hAnsi="仿宋" w:eastAsia="仿宋" w:cs="仿宋"/>
          <w:b/>
          <w:sz w:val="32"/>
          <w:szCs w:val="32"/>
        </w:rPr>
      </w:pPr>
      <w:r>
        <w:rPr>
          <w:rFonts w:hint="eastAsia" w:ascii="仿宋" w:hAnsi="仿宋" w:eastAsia="仿宋" w:cs="仿宋"/>
          <w:b/>
          <w:sz w:val="32"/>
          <w:szCs w:val="32"/>
        </w:rPr>
        <w:t>二、行政处罚的依据、种类及其履行方式和期限</w:t>
      </w:r>
    </w:p>
    <w:p w14:paraId="1D2577A5">
      <w:pPr>
        <w:keepNext w:val="0"/>
        <w:keepLines w:val="0"/>
        <w:pageBreakBefore w:val="0"/>
        <w:widowControl w:val="0"/>
        <w:kinsoku/>
        <w:wordWrap/>
        <w:overflowPunct/>
        <w:topLinePunct w:val="0"/>
        <w:autoSpaceDE/>
        <w:autoSpaceDN/>
        <w:bidi w:val="0"/>
        <w:adjustRightInd/>
        <w:snapToGrid/>
        <w:spacing w:line="510" w:lineRule="exact"/>
        <w:ind w:firstLine="624" w:firstLineChars="200"/>
        <w:textAlignment w:val="auto"/>
        <w:rPr>
          <w:rFonts w:hint="eastAsia" w:ascii="仿宋_GB2312"/>
        </w:rPr>
      </w:pPr>
      <w:r>
        <w:rPr>
          <w:rFonts w:hint="eastAsia" w:ascii="仿宋_GB2312"/>
        </w:rPr>
        <w:t>《中华人民共和国水污染防治法》第八十四条第二款规定，除前款规定外，违反法律、行政法规和国务院环境保护主管部门的规定设置排污口的，由县级以上地方人民政府环境保护主管部门责令限期拆除，处二万元以上十万元以下的罚款；逾期不拆除的，强制拆除，所需费用由违法者承担，处十万元以上五十万元以下的罚款；情节严重的，可以责令停产整治。</w:t>
      </w:r>
    </w:p>
    <w:p w14:paraId="08107CC7">
      <w:pPr>
        <w:keepNext w:val="0"/>
        <w:keepLines w:val="0"/>
        <w:pageBreakBefore w:val="0"/>
        <w:widowControl w:val="0"/>
        <w:kinsoku/>
        <w:wordWrap/>
        <w:overflowPunct/>
        <w:topLinePunct w:val="0"/>
        <w:autoSpaceDE/>
        <w:autoSpaceDN/>
        <w:bidi w:val="0"/>
        <w:adjustRightInd/>
        <w:snapToGrid/>
        <w:spacing w:line="510" w:lineRule="exact"/>
        <w:ind w:firstLine="624" w:firstLineChars="200"/>
        <w:textAlignment w:val="auto"/>
        <w:rPr>
          <w:rFonts w:ascii="仿宋" w:hAnsi="仿宋" w:eastAsia="仿宋" w:cs="仿宋"/>
          <w:b/>
          <w:bCs/>
          <w:szCs w:val="32"/>
        </w:rPr>
      </w:pPr>
      <w:r>
        <w:rPr>
          <w:rFonts w:hint="eastAsia" w:ascii="仿宋_GB2312"/>
          <w:b/>
          <w:bCs/>
        </w:rPr>
        <w:t>依据上述</w:t>
      </w:r>
      <w:r>
        <w:rPr>
          <w:rFonts w:hint="eastAsia" w:ascii="仿宋_GB2312"/>
          <w:b/>
          <w:bCs/>
          <w:lang w:val="en-US" w:eastAsia="zh-CN"/>
        </w:rPr>
        <w:t>和</w:t>
      </w:r>
      <w:r>
        <w:rPr>
          <w:rFonts w:hint="eastAsia" w:ascii="仿宋_GB2312"/>
          <w:b/>
          <w:bCs/>
        </w:rPr>
        <w:t>《广东省生态环境行政处罚自由裁量权规定》附件1《广东省生态环境违法行为行政处罚罚款金额裁量表》</w:t>
      </w:r>
      <w:r>
        <w:rPr>
          <w:rFonts w:hint="eastAsia" w:ascii="仿宋_GB2312"/>
          <w:b/>
          <w:bCs/>
          <w:lang w:val="en-US" w:eastAsia="zh-CN"/>
        </w:rPr>
        <w:t>2.11及《江门市实施&lt;广东省生态环境行政处罚自由裁量权规定&gt;细则》第六条、第七条的有关</w:t>
      </w:r>
      <w:r>
        <w:rPr>
          <w:rFonts w:hint="eastAsia" w:ascii="仿宋_GB2312"/>
          <w:b/>
          <w:bCs/>
        </w:rPr>
        <w:t>规定，我局</w:t>
      </w:r>
      <w:r>
        <w:rPr>
          <w:rFonts w:hint="eastAsia" w:ascii="仿宋_GB2312"/>
          <w:b/>
          <w:bCs/>
          <w:lang w:val="en-US" w:eastAsia="zh-CN"/>
        </w:rPr>
        <w:t>决定</w:t>
      </w:r>
      <w:r>
        <w:rPr>
          <w:rFonts w:hint="eastAsia" w:ascii="仿宋_GB2312"/>
          <w:b/>
          <w:bCs/>
        </w:rPr>
        <w:t>对你</w:t>
      </w:r>
      <w:r>
        <w:rPr>
          <w:rFonts w:hint="eastAsia" w:ascii="仿宋_GB2312"/>
          <w:b/>
          <w:bCs/>
          <w:lang w:val="en-US" w:eastAsia="zh-CN"/>
        </w:rPr>
        <w:t>单位</w:t>
      </w:r>
      <w:r>
        <w:rPr>
          <w:rFonts w:hint="eastAsia" w:ascii="仿宋_GB2312"/>
          <w:b/>
          <w:bCs/>
        </w:rPr>
        <w:t>处罚款</w:t>
      </w:r>
      <w:r>
        <w:rPr>
          <w:rFonts w:hint="eastAsia" w:ascii="仿宋_GB2312"/>
          <w:b/>
          <w:bCs/>
          <w:lang w:eastAsia="zh-CN"/>
        </w:rPr>
        <w:t>人民币</w:t>
      </w:r>
      <w:r>
        <w:rPr>
          <w:rFonts w:hint="eastAsia" w:ascii="仿宋_GB2312"/>
          <w:b/>
          <w:bCs/>
          <w:lang w:val="en-US" w:eastAsia="zh-CN"/>
        </w:rPr>
        <w:t>2.75万元（大写：贰万柒仟伍佰</w:t>
      </w:r>
      <w:r>
        <w:rPr>
          <w:rFonts w:hint="eastAsia" w:ascii="仿宋_GB2312"/>
          <w:b/>
          <w:bCs/>
        </w:rPr>
        <w:t>元</w:t>
      </w:r>
      <w:r>
        <w:rPr>
          <w:rFonts w:hint="eastAsia" w:ascii="仿宋_GB2312"/>
          <w:b/>
          <w:bCs/>
          <w:lang w:val="en-US" w:eastAsia="zh-CN"/>
        </w:rPr>
        <w:t>）</w:t>
      </w:r>
      <w:r>
        <w:rPr>
          <w:rFonts w:hint="eastAsia" w:ascii="仿宋_GB2312"/>
          <w:b/>
          <w:bCs/>
        </w:rPr>
        <w:t>。</w:t>
      </w:r>
    </w:p>
    <w:p w14:paraId="7FA5E8A0">
      <w:pPr>
        <w:pStyle w:val="2"/>
        <w:keepNext w:val="0"/>
        <w:keepLines w:val="0"/>
        <w:pageBreakBefore w:val="0"/>
        <w:widowControl w:val="0"/>
        <w:kinsoku/>
        <w:wordWrap/>
        <w:overflowPunct/>
        <w:topLinePunct w:val="0"/>
        <w:autoSpaceDE/>
        <w:autoSpaceDN/>
        <w:bidi w:val="0"/>
        <w:adjustRightInd/>
        <w:snapToGrid/>
        <w:spacing w:line="510" w:lineRule="exact"/>
        <w:ind w:firstLine="624" w:firstLineChars="200"/>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hint="eastAsia" w:ascii="仿宋" w:hAnsi="仿宋" w:eastAsia="仿宋" w:cs="仿宋"/>
          <w:kern w:val="2"/>
          <w:sz w:val="32"/>
          <w:szCs w:val="32"/>
          <w:lang w:val="en-US" w:eastAsia="zh-CN"/>
        </w:rPr>
        <w:t>广东省非税收入一般缴款书（电子）</w:t>
      </w:r>
      <w:r>
        <w:rPr>
          <w:rFonts w:hint="eastAsia" w:ascii="仿宋" w:hAnsi="仿宋" w:eastAsia="仿宋" w:cs="仿宋"/>
          <w:kern w:val="2"/>
          <w:sz w:val="32"/>
          <w:szCs w:val="32"/>
        </w:rPr>
        <w:t>》并将罚款缴至指定银行和账号。收款银行、账户名称、账号详见《</w:t>
      </w:r>
      <w:r>
        <w:rPr>
          <w:rFonts w:hint="eastAsia" w:ascii="仿宋" w:hAnsi="仿宋" w:eastAsia="仿宋" w:cs="仿宋"/>
          <w:kern w:val="2"/>
          <w:sz w:val="32"/>
          <w:szCs w:val="32"/>
          <w:lang w:val="en-US" w:eastAsia="zh-CN"/>
        </w:rPr>
        <w:t>新会区非税收入转账须知</w:t>
      </w:r>
      <w:r>
        <w:rPr>
          <w:rFonts w:hint="eastAsia" w:ascii="仿宋" w:hAnsi="仿宋" w:eastAsia="仿宋" w:cs="仿宋"/>
          <w:kern w:val="2"/>
          <w:sz w:val="32"/>
          <w:szCs w:val="32"/>
        </w:rPr>
        <w:t>》。（江门市生态环境局新会分局地址：江门市新会区会城镇东门路</w:t>
      </w:r>
      <w:r>
        <w:rPr>
          <w:rFonts w:hint="eastAsia" w:ascii="Times New Roman" w:hAnsi="Times New Roman" w:eastAsia="仿宋_GB2312" w:cs="Times New Roman"/>
          <w:kern w:val="0"/>
          <w:sz w:val="32"/>
          <w:szCs w:val="24"/>
          <w:lang w:val="en-US" w:eastAsia="zh-CN" w:bidi="ar-SA"/>
        </w:rPr>
        <w:t>11</w:t>
      </w:r>
      <w:r>
        <w:rPr>
          <w:rFonts w:hint="eastAsia" w:ascii="仿宋" w:hAnsi="仿宋" w:eastAsia="仿宋" w:cs="仿宋"/>
          <w:kern w:val="2"/>
          <w:sz w:val="32"/>
          <w:szCs w:val="32"/>
        </w:rPr>
        <w:t>号；联系电话：</w:t>
      </w:r>
      <w:r>
        <w:rPr>
          <w:rFonts w:hint="eastAsia" w:ascii="Times New Roman" w:hAnsi="Times New Roman" w:eastAsia="仿宋_GB2312" w:cs="Times New Roman"/>
          <w:kern w:val="0"/>
          <w:sz w:val="32"/>
          <w:szCs w:val="24"/>
          <w:lang w:val="en-US" w:eastAsia="zh-CN" w:bidi="ar-SA"/>
        </w:rPr>
        <w:t>0750-6109081</w:t>
      </w:r>
      <w:r>
        <w:rPr>
          <w:rFonts w:hint="eastAsia" w:ascii="仿宋" w:hAnsi="仿宋" w:eastAsia="仿宋" w:cs="仿宋"/>
          <w:kern w:val="2"/>
          <w:sz w:val="32"/>
          <w:szCs w:val="32"/>
        </w:rPr>
        <w:t>）</w:t>
      </w:r>
    </w:p>
    <w:p w14:paraId="2287FF9A">
      <w:pPr>
        <w:pStyle w:val="2"/>
        <w:keepNext w:val="0"/>
        <w:keepLines w:val="0"/>
        <w:pageBreakBefore w:val="0"/>
        <w:widowControl w:val="0"/>
        <w:kinsoku/>
        <w:wordWrap/>
        <w:overflowPunct/>
        <w:topLinePunct w:val="0"/>
        <w:autoSpaceDE/>
        <w:autoSpaceDN/>
        <w:bidi w:val="0"/>
        <w:adjustRightInd/>
        <w:snapToGrid/>
        <w:spacing w:line="510" w:lineRule="exact"/>
        <w:ind w:firstLine="624" w:firstLineChars="200"/>
        <w:jc w:val="both"/>
        <w:textAlignment w:val="auto"/>
        <w:rPr>
          <w:rFonts w:hint="eastAsia" w:ascii="仿宋" w:hAnsi="仿宋" w:eastAsia="仿宋" w:cs="仿宋"/>
          <w:kern w:val="2"/>
          <w:sz w:val="32"/>
          <w:szCs w:val="32"/>
        </w:rPr>
      </w:pPr>
      <w:r>
        <w:rPr>
          <w:rFonts w:hint="eastAsia" w:ascii="仿宋" w:hAnsi="仿宋" w:eastAsia="仿宋" w:cs="仿宋"/>
          <w:sz w:val="32"/>
          <w:szCs w:val="32"/>
        </w:rPr>
        <w:t>逾期不缴纳罚款的，我局依据《中华人民共和国行政处罚法》第七十二条第一款第一项和《中华人民共和国行政强制法》第四十五条规定，</w:t>
      </w:r>
      <w:r>
        <w:rPr>
          <w:rFonts w:hint="eastAsia" w:ascii="仿宋" w:hAnsi="仿宋" w:eastAsia="仿宋" w:cs="仿宋"/>
          <w:kern w:val="2"/>
          <w:sz w:val="32"/>
          <w:szCs w:val="32"/>
        </w:rPr>
        <w:t>将每日按罚款数额的</w:t>
      </w:r>
      <w:r>
        <w:rPr>
          <w:rFonts w:hint="eastAsia" w:ascii="Times New Roman" w:hAnsi="Times New Roman" w:eastAsia="仿宋_GB2312" w:cs="Times New Roman"/>
          <w:kern w:val="0"/>
          <w:sz w:val="32"/>
          <w:szCs w:val="24"/>
          <w:lang w:val="en-US" w:eastAsia="zh-CN" w:bidi="ar-SA"/>
        </w:rPr>
        <w:t>3</w:t>
      </w:r>
      <w:r>
        <w:rPr>
          <w:rFonts w:hint="eastAsia" w:ascii="仿宋" w:hAnsi="仿宋" w:eastAsia="仿宋" w:cs="仿宋"/>
          <w:kern w:val="2"/>
          <w:sz w:val="32"/>
          <w:szCs w:val="32"/>
        </w:rPr>
        <w:t>%加处罚款。</w:t>
      </w:r>
    </w:p>
    <w:p w14:paraId="09ED911E">
      <w:pPr>
        <w:pStyle w:val="2"/>
        <w:keepNext w:val="0"/>
        <w:keepLines w:val="0"/>
        <w:pageBreakBefore w:val="0"/>
        <w:widowControl w:val="0"/>
        <w:kinsoku/>
        <w:wordWrap/>
        <w:overflowPunct/>
        <w:topLinePunct w:val="0"/>
        <w:autoSpaceDE/>
        <w:autoSpaceDN/>
        <w:bidi w:val="0"/>
        <w:adjustRightInd/>
        <w:snapToGrid/>
        <w:spacing w:before="313" w:beforeLines="50" w:line="51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b/>
          <w:sz w:val="32"/>
          <w:szCs w:val="32"/>
        </w:rPr>
        <w:t>三、申请复议或者提起诉讼的途径和期限</w:t>
      </w:r>
    </w:p>
    <w:p w14:paraId="07169112">
      <w:pPr>
        <w:keepNext w:val="0"/>
        <w:keepLines w:val="0"/>
        <w:pageBreakBefore w:val="0"/>
        <w:widowControl w:val="0"/>
        <w:kinsoku/>
        <w:wordWrap/>
        <w:overflowPunct/>
        <w:topLinePunct w:val="0"/>
        <w:autoSpaceDE/>
        <w:autoSpaceDN/>
        <w:bidi w:val="0"/>
        <w:adjustRightInd/>
        <w:snapToGrid/>
        <w:spacing w:line="51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hint="eastAsia" w:ascii="仿宋" w:hAnsi="仿宋" w:eastAsia="仿宋" w:cs="仿宋"/>
          <w:kern w:val="0"/>
          <w:sz w:val="32"/>
          <w:szCs w:val="32"/>
          <w:lang w:val="en-US" w:eastAsia="zh-CN"/>
        </w:rPr>
        <w:t>新会</w:t>
      </w:r>
      <w:r>
        <w:rPr>
          <w:rFonts w:hint="eastAsia" w:ascii="仿宋" w:hAnsi="仿宋" w:eastAsia="仿宋" w:cs="仿宋"/>
          <w:kern w:val="0"/>
          <w:sz w:val="32"/>
          <w:szCs w:val="32"/>
        </w:rPr>
        <w:t>区人民法院提起行政诉讼。</w:t>
      </w:r>
    </w:p>
    <w:p w14:paraId="44AB9560">
      <w:pPr>
        <w:keepNext w:val="0"/>
        <w:keepLines w:val="0"/>
        <w:pageBreakBefore w:val="0"/>
        <w:widowControl w:val="0"/>
        <w:kinsoku/>
        <w:wordWrap/>
        <w:overflowPunct/>
        <w:topLinePunct w:val="0"/>
        <w:autoSpaceDE/>
        <w:autoSpaceDN/>
        <w:bidi w:val="0"/>
        <w:adjustRightInd/>
        <w:snapToGrid/>
        <w:spacing w:line="51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申请行政复议或者提起行政诉讼的，不停止行政处罚决定的执行。</w:t>
      </w:r>
    </w:p>
    <w:p w14:paraId="50F9B5B5">
      <w:pPr>
        <w:keepNext w:val="0"/>
        <w:keepLines w:val="0"/>
        <w:pageBreakBefore w:val="0"/>
        <w:widowControl w:val="0"/>
        <w:kinsoku/>
        <w:wordWrap/>
        <w:overflowPunct/>
        <w:topLinePunct w:val="0"/>
        <w:autoSpaceDE/>
        <w:autoSpaceDN/>
        <w:bidi w:val="0"/>
        <w:adjustRightInd/>
        <w:snapToGrid/>
        <w:spacing w:line="51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14:paraId="41E44C93">
      <w:pPr>
        <w:keepNext w:val="0"/>
        <w:keepLines w:val="0"/>
        <w:pageBreakBefore w:val="0"/>
        <w:widowControl w:val="0"/>
        <w:tabs>
          <w:tab w:val="left" w:pos="1560"/>
        </w:tabs>
        <w:kinsoku/>
        <w:wordWrap/>
        <w:overflowPunct/>
        <w:topLinePunct w:val="0"/>
        <w:autoSpaceDE/>
        <w:autoSpaceDN/>
        <w:bidi w:val="0"/>
        <w:adjustRightInd/>
        <w:snapToGrid/>
        <w:spacing w:line="510" w:lineRule="exact"/>
        <w:textAlignment w:val="auto"/>
        <w:rPr>
          <w:rFonts w:ascii="仿宋" w:hAnsi="仿宋" w:eastAsia="仿宋" w:cs="仿宋"/>
          <w:kern w:val="0"/>
          <w:szCs w:val="32"/>
        </w:rPr>
      </w:pPr>
    </w:p>
    <w:p w14:paraId="0E9E6544">
      <w:pPr>
        <w:keepNext w:val="0"/>
        <w:keepLines w:val="0"/>
        <w:pageBreakBefore w:val="0"/>
        <w:widowControl w:val="0"/>
        <w:tabs>
          <w:tab w:val="left" w:pos="1560"/>
        </w:tabs>
        <w:kinsoku/>
        <w:wordWrap/>
        <w:overflowPunct/>
        <w:topLinePunct w:val="0"/>
        <w:autoSpaceDE/>
        <w:autoSpaceDN/>
        <w:bidi w:val="0"/>
        <w:adjustRightInd/>
        <w:snapToGrid/>
        <w:spacing w:line="510" w:lineRule="exact"/>
        <w:textAlignment w:val="auto"/>
        <w:rPr>
          <w:rFonts w:ascii="仿宋" w:hAnsi="仿宋" w:eastAsia="仿宋" w:cs="仿宋"/>
          <w:kern w:val="0"/>
          <w:szCs w:val="32"/>
        </w:rPr>
      </w:pPr>
    </w:p>
    <w:p w14:paraId="5CAEE8B3">
      <w:pPr>
        <w:keepNext w:val="0"/>
        <w:keepLines w:val="0"/>
        <w:pageBreakBefore w:val="0"/>
        <w:widowControl w:val="0"/>
        <w:kinsoku/>
        <w:wordWrap/>
        <w:overflowPunct/>
        <w:topLinePunct w:val="0"/>
        <w:autoSpaceDE/>
        <w:autoSpaceDN/>
        <w:bidi w:val="0"/>
        <w:adjustRightInd/>
        <w:snapToGrid/>
        <w:spacing w:line="560" w:lineRule="exact"/>
        <w:ind w:right="55"/>
        <w:jc w:val="center"/>
        <w:textAlignment w:val="auto"/>
        <w:rPr>
          <w:rFonts w:ascii="仿宋" w:hAnsi="仿宋" w:eastAsia="仿宋" w:cs="仿宋"/>
          <w:kern w:val="0"/>
          <w:szCs w:val="32"/>
        </w:rPr>
      </w:pPr>
      <w:r>
        <w:rPr>
          <w:rFonts w:hint="eastAsia" w:ascii="仿宋" w:hAnsi="仿宋" w:eastAsia="仿宋" w:cs="仿宋"/>
          <w:kern w:val="0"/>
          <w:szCs w:val="32"/>
        </w:rPr>
        <w:t xml:space="preserve">                        江门市生态环境局 </w:t>
      </w:r>
    </w:p>
    <w:p w14:paraId="46F6A1AE">
      <w:pPr>
        <w:keepNext w:val="0"/>
        <w:keepLines w:val="0"/>
        <w:pageBreakBefore w:val="0"/>
        <w:widowControl w:val="0"/>
        <w:kinsoku/>
        <w:wordWrap/>
        <w:overflowPunct/>
        <w:topLinePunct w:val="0"/>
        <w:autoSpaceDE/>
        <w:autoSpaceDN/>
        <w:bidi w:val="0"/>
        <w:adjustRightInd/>
        <w:snapToGrid/>
        <w:spacing w:line="560" w:lineRule="exact"/>
        <w:ind w:right="1092"/>
        <w:jc w:val="center"/>
        <w:textAlignment w:val="auto"/>
        <w:rPr>
          <w:rFonts w:hint="eastAsia" w:ascii="仿宋" w:hAnsi="仿宋" w:eastAsia="仿宋" w:cs="仿宋"/>
          <w:kern w:val="0"/>
          <w:szCs w:val="32"/>
        </w:rPr>
      </w:pPr>
      <w:r>
        <w:rPr>
          <w:rFonts w:hint="eastAsia" w:ascii="仿宋" w:hAnsi="仿宋" w:eastAsia="仿宋" w:cs="仿宋"/>
          <w:kern w:val="0"/>
          <w:szCs w:val="32"/>
        </w:rPr>
        <w:t xml:space="preserve">                               </w:t>
      </w:r>
      <w:r>
        <w:rPr>
          <w:rFonts w:hint="eastAsia"/>
          <w:kern w:val="0"/>
          <w:lang w:val="en-US" w:eastAsia="zh-CN"/>
        </w:rPr>
        <w:t>2025</w:t>
      </w:r>
      <w:r>
        <w:rPr>
          <w:rFonts w:hint="eastAsia" w:ascii="仿宋" w:hAnsi="仿宋" w:eastAsia="仿宋" w:cs="仿宋"/>
          <w:kern w:val="0"/>
          <w:szCs w:val="32"/>
        </w:rPr>
        <w:t>年</w:t>
      </w:r>
      <w:r>
        <w:rPr>
          <w:rFonts w:hint="eastAsia"/>
          <w:kern w:val="0"/>
          <w:lang w:val="en-US" w:eastAsia="zh-CN"/>
        </w:rPr>
        <w:t>9</w:t>
      </w:r>
      <w:r>
        <w:rPr>
          <w:rFonts w:hint="eastAsia" w:ascii="仿宋" w:hAnsi="仿宋" w:eastAsia="仿宋" w:cs="仿宋"/>
          <w:kern w:val="0"/>
          <w:szCs w:val="32"/>
        </w:rPr>
        <w:t>月</w:t>
      </w:r>
      <w:bookmarkStart w:id="0" w:name="_GoBack"/>
      <w:r>
        <w:rPr>
          <w:rFonts w:hint="eastAsia"/>
          <w:kern w:val="0"/>
          <w:lang w:val="en-US" w:eastAsia="zh-CN"/>
        </w:rPr>
        <w:t>23</w:t>
      </w:r>
      <w:bookmarkEnd w:id="0"/>
      <w:r>
        <w:rPr>
          <w:rFonts w:hint="eastAsia" w:ascii="仿宋" w:hAnsi="仿宋" w:eastAsia="仿宋" w:cs="仿宋"/>
          <w:kern w:val="0"/>
          <w:szCs w:val="32"/>
        </w:rPr>
        <w:t>日</w:t>
      </w:r>
    </w:p>
    <w:p w14:paraId="780DB23A">
      <w:pPr>
        <w:keepNext w:val="0"/>
        <w:keepLines w:val="0"/>
        <w:pageBreakBefore w:val="0"/>
        <w:widowControl w:val="0"/>
        <w:kinsoku/>
        <w:wordWrap/>
        <w:overflowPunct/>
        <w:topLinePunct w:val="0"/>
        <w:autoSpaceDE/>
        <w:autoSpaceDN/>
        <w:bidi w:val="0"/>
        <w:adjustRightInd/>
        <w:snapToGrid/>
        <w:spacing w:line="560" w:lineRule="exact"/>
        <w:ind w:right="1092"/>
        <w:jc w:val="both"/>
        <w:textAlignment w:val="auto"/>
        <w:rPr>
          <w:rFonts w:ascii="仿宋" w:hAnsi="仿宋" w:eastAsia="仿宋" w:cs="仿宋"/>
          <w:kern w:val="0"/>
          <w:szCs w:val="32"/>
        </w:rPr>
      </w:pPr>
      <w:r>
        <w:rPr>
          <w:rFonts w:hint="eastAsia" w:ascii="仿宋" w:hAnsi="仿宋" w:eastAsia="仿宋" w:cs="仿宋"/>
          <w:kern w:val="0"/>
          <w:szCs w:val="32"/>
        </w:rPr>
        <w:t>抄送：</w:t>
      </w:r>
      <w:r>
        <w:rPr>
          <w:rFonts w:hint="eastAsia" w:ascii="仿宋" w:hAnsi="仿宋" w:eastAsia="仿宋" w:cs="仿宋"/>
          <w:kern w:val="0"/>
          <w:sz w:val="32"/>
          <w:szCs w:val="32"/>
          <w:lang w:val="en-US" w:eastAsia="zh-CN"/>
        </w:rPr>
        <w:t>三江镇生态环境保护办公室</w:t>
      </w:r>
      <w:r>
        <w:rPr>
          <w:rFonts w:hint="eastAsia" w:ascii="仿宋" w:hAnsi="仿宋" w:eastAsia="仿宋" w:cs="仿宋"/>
          <w:kern w:val="0"/>
          <w:szCs w:val="32"/>
        </w:rPr>
        <w:t>。</w:t>
      </w:r>
    </w:p>
    <w:sectPr>
      <w:headerReference r:id="rId4" w:type="first"/>
      <w:footerReference r:id="rId7" w:type="first"/>
      <w:headerReference r:id="rId3" w:type="default"/>
      <w:footerReference r:id="rId5" w:type="default"/>
      <w:footerReference r:id="rId6" w:type="even"/>
      <w:pgSz w:w="11906" w:h="16838"/>
      <w:pgMar w:top="2098" w:right="1474" w:bottom="1644" w:left="1588" w:header="851" w:footer="1474" w:gutter="0"/>
      <w:pgNumType w:start="1"/>
      <w:cols w:space="425" w:num="1"/>
      <w:titlePg/>
      <w:docGrid w:type="linesAndChars" w:linePitch="62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297B7">
    <w:pPr>
      <w:pStyle w:val="5"/>
      <w:framePr w:w="1226" w:wrap="around" w:vAnchor="text" w:hAnchor="page" w:x="9004" w:y="3"/>
      <w:rPr>
        <w:rStyle w:val="9"/>
        <w:rFonts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3</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4666E2B1">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D9635">
    <w:pPr>
      <w:pStyle w:val="5"/>
      <w:framePr w:w="8257" w:wrap="around" w:vAnchor="text" w:hAnchor="page" w:x="2041" w:y="29"/>
      <w:rPr>
        <w:rStyle w:val="9"/>
        <w:rFonts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2</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46A906A4">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A9E8A">
    <w:pPr>
      <w:pStyle w:val="5"/>
      <w:rPr>
        <w:rFonts w:asciiTheme="minorEastAsia" w:hAnsiTheme="minorEastAsia" w:eastAsiaTheme="minorEastAsia"/>
        <w:sz w:val="28"/>
        <w:szCs w:val="28"/>
      </w:rPr>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C7D29">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2A2D4">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56"/>
  <w:drawingGridVerticalSpacing w:val="627"/>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38A"/>
    <w:rsid w:val="00020789"/>
    <w:rsid w:val="00021C72"/>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5750"/>
    <w:rsid w:val="00055F41"/>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2C"/>
    <w:rsid w:val="000E58A8"/>
    <w:rsid w:val="000E5A0D"/>
    <w:rsid w:val="000E5D8E"/>
    <w:rsid w:val="000E6005"/>
    <w:rsid w:val="000E6A4F"/>
    <w:rsid w:val="000E70B6"/>
    <w:rsid w:val="000F0189"/>
    <w:rsid w:val="000F0C8D"/>
    <w:rsid w:val="000F19A5"/>
    <w:rsid w:val="000F2897"/>
    <w:rsid w:val="000F29AF"/>
    <w:rsid w:val="000F382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26763"/>
    <w:rsid w:val="002308A1"/>
    <w:rsid w:val="00231844"/>
    <w:rsid w:val="002318FB"/>
    <w:rsid w:val="00232104"/>
    <w:rsid w:val="002344D7"/>
    <w:rsid w:val="00234B23"/>
    <w:rsid w:val="00236D68"/>
    <w:rsid w:val="00236E28"/>
    <w:rsid w:val="002372D9"/>
    <w:rsid w:val="00237310"/>
    <w:rsid w:val="002377D0"/>
    <w:rsid w:val="00237909"/>
    <w:rsid w:val="0024032C"/>
    <w:rsid w:val="002403B5"/>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9E"/>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59AD"/>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6CA"/>
    <w:rsid w:val="002808AF"/>
    <w:rsid w:val="00280E58"/>
    <w:rsid w:val="002816CD"/>
    <w:rsid w:val="00281AB9"/>
    <w:rsid w:val="0028244B"/>
    <w:rsid w:val="00282531"/>
    <w:rsid w:val="0028256C"/>
    <w:rsid w:val="002828F9"/>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03B6"/>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AF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55A"/>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2A4"/>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67D9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548D"/>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0CBE"/>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5D57"/>
    <w:rsid w:val="006A6655"/>
    <w:rsid w:val="006A68C1"/>
    <w:rsid w:val="006A6F2E"/>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6F74A3"/>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A71"/>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377FA"/>
    <w:rsid w:val="0084077C"/>
    <w:rsid w:val="00840857"/>
    <w:rsid w:val="00840FFE"/>
    <w:rsid w:val="008428AB"/>
    <w:rsid w:val="00843A32"/>
    <w:rsid w:val="008443F7"/>
    <w:rsid w:val="00844AE1"/>
    <w:rsid w:val="00846181"/>
    <w:rsid w:val="008471DC"/>
    <w:rsid w:val="00847320"/>
    <w:rsid w:val="00847FEF"/>
    <w:rsid w:val="0085090C"/>
    <w:rsid w:val="00851BCF"/>
    <w:rsid w:val="0085278C"/>
    <w:rsid w:val="00852D56"/>
    <w:rsid w:val="00852E09"/>
    <w:rsid w:val="00854645"/>
    <w:rsid w:val="008551E9"/>
    <w:rsid w:val="008552CD"/>
    <w:rsid w:val="008555B7"/>
    <w:rsid w:val="008561D1"/>
    <w:rsid w:val="008564E5"/>
    <w:rsid w:val="00857932"/>
    <w:rsid w:val="0086266B"/>
    <w:rsid w:val="0086295E"/>
    <w:rsid w:val="00862BBE"/>
    <w:rsid w:val="008631FF"/>
    <w:rsid w:val="00865393"/>
    <w:rsid w:val="008656C2"/>
    <w:rsid w:val="008669FB"/>
    <w:rsid w:val="00866D9B"/>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77B1E"/>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C7EF1"/>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59"/>
    <w:rsid w:val="009333D7"/>
    <w:rsid w:val="00933A62"/>
    <w:rsid w:val="00935169"/>
    <w:rsid w:val="00935B9D"/>
    <w:rsid w:val="00935CF2"/>
    <w:rsid w:val="00936C02"/>
    <w:rsid w:val="00936D78"/>
    <w:rsid w:val="00936FA7"/>
    <w:rsid w:val="00937608"/>
    <w:rsid w:val="00937A4F"/>
    <w:rsid w:val="00940B57"/>
    <w:rsid w:val="009414AE"/>
    <w:rsid w:val="009414E3"/>
    <w:rsid w:val="00941AD1"/>
    <w:rsid w:val="00941DFC"/>
    <w:rsid w:val="009421D5"/>
    <w:rsid w:val="00942E8C"/>
    <w:rsid w:val="00943063"/>
    <w:rsid w:val="009430EB"/>
    <w:rsid w:val="009436AA"/>
    <w:rsid w:val="00944528"/>
    <w:rsid w:val="00944FCE"/>
    <w:rsid w:val="00946C28"/>
    <w:rsid w:val="00946C68"/>
    <w:rsid w:val="00946CA5"/>
    <w:rsid w:val="00947012"/>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4ADD"/>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1FF"/>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4BE"/>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6367"/>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141"/>
    <w:rsid w:val="00B0227D"/>
    <w:rsid w:val="00B02714"/>
    <w:rsid w:val="00B02AD4"/>
    <w:rsid w:val="00B03122"/>
    <w:rsid w:val="00B048C4"/>
    <w:rsid w:val="00B050B3"/>
    <w:rsid w:val="00B0556A"/>
    <w:rsid w:val="00B06072"/>
    <w:rsid w:val="00B07662"/>
    <w:rsid w:val="00B0790B"/>
    <w:rsid w:val="00B10F62"/>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0E96"/>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B4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8F4"/>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0CE"/>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47CA"/>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4D5"/>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40E"/>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A3C"/>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017"/>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6F1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142271"/>
    <w:rsid w:val="011B3EF1"/>
    <w:rsid w:val="015B1BB4"/>
    <w:rsid w:val="01B73BCF"/>
    <w:rsid w:val="02B17662"/>
    <w:rsid w:val="02B473BF"/>
    <w:rsid w:val="03020908"/>
    <w:rsid w:val="03FE7EAB"/>
    <w:rsid w:val="047333D2"/>
    <w:rsid w:val="04983D5F"/>
    <w:rsid w:val="04F76DD4"/>
    <w:rsid w:val="05107960"/>
    <w:rsid w:val="051B0039"/>
    <w:rsid w:val="053D6089"/>
    <w:rsid w:val="063E0A32"/>
    <w:rsid w:val="06A56CC2"/>
    <w:rsid w:val="06AE1485"/>
    <w:rsid w:val="08E03AB3"/>
    <w:rsid w:val="091C4C91"/>
    <w:rsid w:val="0A5C7E2B"/>
    <w:rsid w:val="0C6F3B75"/>
    <w:rsid w:val="0CC31EFE"/>
    <w:rsid w:val="0D026C5D"/>
    <w:rsid w:val="0D305CD2"/>
    <w:rsid w:val="0EE411DE"/>
    <w:rsid w:val="0F380715"/>
    <w:rsid w:val="0FF71C1C"/>
    <w:rsid w:val="10B34097"/>
    <w:rsid w:val="10E36028"/>
    <w:rsid w:val="12930507"/>
    <w:rsid w:val="13481A0F"/>
    <w:rsid w:val="15E36674"/>
    <w:rsid w:val="164A16A5"/>
    <w:rsid w:val="16BB2D6C"/>
    <w:rsid w:val="18CB43A7"/>
    <w:rsid w:val="19FB10D4"/>
    <w:rsid w:val="1AED1685"/>
    <w:rsid w:val="1B9A4789"/>
    <w:rsid w:val="1C3E371C"/>
    <w:rsid w:val="1C5D6DE0"/>
    <w:rsid w:val="1C8F393E"/>
    <w:rsid w:val="1F3248A2"/>
    <w:rsid w:val="201523AB"/>
    <w:rsid w:val="20BE6BF2"/>
    <w:rsid w:val="20E617A0"/>
    <w:rsid w:val="222C6442"/>
    <w:rsid w:val="2341634B"/>
    <w:rsid w:val="25DC4417"/>
    <w:rsid w:val="28B81B5C"/>
    <w:rsid w:val="28CB2D97"/>
    <w:rsid w:val="29816E2D"/>
    <w:rsid w:val="2B0378E1"/>
    <w:rsid w:val="2C1E043E"/>
    <w:rsid w:val="2CD77C60"/>
    <w:rsid w:val="2DA42B43"/>
    <w:rsid w:val="2DB27D05"/>
    <w:rsid w:val="2DF906E3"/>
    <w:rsid w:val="2E442D9C"/>
    <w:rsid w:val="2F8813E5"/>
    <w:rsid w:val="30624308"/>
    <w:rsid w:val="30FF50DE"/>
    <w:rsid w:val="310274C8"/>
    <w:rsid w:val="318F6C0A"/>
    <w:rsid w:val="32043B02"/>
    <w:rsid w:val="32257A5E"/>
    <w:rsid w:val="32B47A43"/>
    <w:rsid w:val="32D37D7A"/>
    <w:rsid w:val="341F30CA"/>
    <w:rsid w:val="35363488"/>
    <w:rsid w:val="37056953"/>
    <w:rsid w:val="386F51D4"/>
    <w:rsid w:val="39900FC9"/>
    <w:rsid w:val="3A562AB3"/>
    <w:rsid w:val="3D631F35"/>
    <w:rsid w:val="40EC3119"/>
    <w:rsid w:val="40F914F9"/>
    <w:rsid w:val="41D24F2E"/>
    <w:rsid w:val="42764AD5"/>
    <w:rsid w:val="42A25B31"/>
    <w:rsid w:val="43244531"/>
    <w:rsid w:val="439D775C"/>
    <w:rsid w:val="45882A2B"/>
    <w:rsid w:val="45EF52CA"/>
    <w:rsid w:val="47651C4A"/>
    <w:rsid w:val="48085E70"/>
    <w:rsid w:val="48825F81"/>
    <w:rsid w:val="48C621C4"/>
    <w:rsid w:val="48F91216"/>
    <w:rsid w:val="49BA6F32"/>
    <w:rsid w:val="49C4596D"/>
    <w:rsid w:val="49CF19C3"/>
    <w:rsid w:val="49E862B8"/>
    <w:rsid w:val="4A1A648E"/>
    <w:rsid w:val="4AA77651"/>
    <w:rsid w:val="4BC66ACD"/>
    <w:rsid w:val="4CFE2E04"/>
    <w:rsid w:val="50A447B5"/>
    <w:rsid w:val="50E41B32"/>
    <w:rsid w:val="513A0A9E"/>
    <w:rsid w:val="51AC698D"/>
    <w:rsid w:val="52156892"/>
    <w:rsid w:val="537F46B4"/>
    <w:rsid w:val="53F93F34"/>
    <w:rsid w:val="5412381E"/>
    <w:rsid w:val="548F7932"/>
    <w:rsid w:val="562C577E"/>
    <w:rsid w:val="562C712C"/>
    <w:rsid w:val="56494CBE"/>
    <w:rsid w:val="570322C8"/>
    <w:rsid w:val="58CA2088"/>
    <w:rsid w:val="59172546"/>
    <w:rsid w:val="59791E99"/>
    <w:rsid w:val="5A3A2B60"/>
    <w:rsid w:val="5AAD3E10"/>
    <w:rsid w:val="5DC70FFD"/>
    <w:rsid w:val="5ED53B93"/>
    <w:rsid w:val="5EEB1905"/>
    <w:rsid w:val="602D574A"/>
    <w:rsid w:val="62253019"/>
    <w:rsid w:val="62BB6394"/>
    <w:rsid w:val="63C93BBB"/>
    <w:rsid w:val="64AC792D"/>
    <w:rsid w:val="64DA6310"/>
    <w:rsid w:val="65D76C2E"/>
    <w:rsid w:val="662C3C3B"/>
    <w:rsid w:val="66AA2DF7"/>
    <w:rsid w:val="66BB3693"/>
    <w:rsid w:val="670129E0"/>
    <w:rsid w:val="68030D59"/>
    <w:rsid w:val="6954235C"/>
    <w:rsid w:val="69B1292E"/>
    <w:rsid w:val="6BD36413"/>
    <w:rsid w:val="6CAC4EE0"/>
    <w:rsid w:val="6CF7043C"/>
    <w:rsid w:val="728C4FED"/>
    <w:rsid w:val="7293486A"/>
    <w:rsid w:val="72A20473"/>
    <w:rsid w:val="730C565B"/>
    <w:rsid w:val="74CA40CB"/>
    <w:rsid w:val="75F23E97"/>
    <w:rsid w:val="760246AA"/>
    <w:rsid w:val="77324DF3"/>
    <w:rsid w:val="773C7ABF"/>
    <w:rsid w:val="779E1C22"/>
    <w:rsid w:val="77D54070"/>
    <w:rsid w:val="78142BDA"/>
    <w:rsid w:val="786D24FD"/>
    <w:rsid w:val="78EB04B8"/>
    <w:rsid w:val="79BC1E8F"/>
    <w:rsid w:val="79EB071C"/>
    <w:rsid w:val="79F44681"/>
    <w:rsid w:val="7AF65FE7"/>
    <w:rsid w:val="7B7452F6"/>
    <w:rsid w:val="7F49278B"/>
    <w:rsid w:val="7FF7647E"/>
    <w:rsid w:val="7FFF168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0"/>
    <w:qFormat/>
    <w:uiPriority w:val="99"/>
    <w:pPr>
      <w:ind w:firstLine="780"/>
    </w:pPr>
    <w:rPr>
      <w:kern w:val="0"/>
      <w:sz w:val="24"/>
    </w:rPr>
  </w:style>
  <w:style w:type="paragraph" w:styleId="3">
    <w:name w:val="Date"/>
    <w:basedOn w:val="1"/>
    <w:next w:val="1"/>
    <w:link w:val="14"/>
    <w:semiHidden/>
    <w:unhideWhenUsed/>
    <w:qFormat/>
    <w:uiPriority w:val="99"/>
    <w:pPr>
      <w:ind w:left="100" w:leftChars="2500"/>
    </w:pPr>
  </w:style>
  <w:style w:type="paragraph" w:styleId="4">
    <w:name w:val="Balloon Text"/>
    <w:basedOn w:val="1"/>
    <w:link w:val="13"/>
    <w:autoRedefine/>
    <w:semiHidden/>
    <w:qFormat/>
    <w:uiPriority w:val="99"/>
    <w:rPr>
      <w:kern w:val="0"/>
      <w:sz w:val="18"/>
      <w:szCs w:val="18"/>
    </w:rPr>
  </w:style>
  <w:style w:type="paragraph" w:styleId="5">
    <w:name w:val="footer"/>
    <w:basedOn w:val="1"/>
    <w:link w:val="11"/>
    <w:autoRedefine/>
    <w:qFormat/>
    <w:uiPriority w:val="99"/>
    <w:pPr>
      <w:tabs>
        <w:tab w:val="center" w:pos="4153"/>
        <w:tab w:val="right" w:pos="8306"/>
      </w:tabs>
      <w:snapToGrid w:val="0"/>
      <w:jc w:val="left"/>
    </w:pPr>
    <w:rPr>
      <w:kern w:val="0"/>
      <w:sz w:val="18"/>
      <w:szCs w:val="18"/>
    </w:rPr>
  </w:style>
  <w:style w:type="paragraph" w:styleId="6">
    <w:name w:val="header"/>
    <w:basedOn w:val="1"/>
    <w:link w:val="12"/>
    <w:autoRedefine/>
    <w:qFormat/>
    <w:uiPriority w:val="99"/>
    <w:pPr>
      <w:pBdr>
        <w:bottom w:val="single" w:color="auto" w:sz="6" w:space="1"/>
      </w:pBdr>
      <w:tabs>
        <w:tab w:val="center" w:pos="4153"/>
        <w:tab w:val="right" w:pos="8306"/>
      </w:tabs>
      <w:snapToGrid w:val="0"/>
      <w:jc w:val="center"/>
    </w:pPr>
    <w:rPr>
      <w:kern w:val="0"/>
      <w:sz w:val="18"/>
      <w:szCs w:val="18"/>
    </w:rPr>
  </w:style>
  <w:style w:type="character" w:styleId="9">
    <w:name w:val="page number"/>
    <w:autoRedefine/>
    <w:qFormat/>
    <w:uiPriority w:val="99"/>
    <w:rPr>
      <w:rFonts w:cs="Times New Roman"/>
    </w:rPr>
  </w:style>
  <w:style w:type="character" w:customStyle="1" w:styleId="10">
    <w:name w:val="正文文本缩进 字符"/>
    <w:link w:val="2"/>
    <w:qFormat/>
    <w:locked/>
    <w:uiPriority w:val="99"/>
    <w:rPr>
      <w:rFonts w:ascii="Times New Roman" w:hAnsi="Times New Roman" w:eastAsia="仿宋_GB2312"/>
      <w:sz w:val="24"/>
    </w:rPr>
  </w:style>
  <w:style w:type="character" w:customStyle="1" w:styleId="11">
    <w:name w:val="页脚 字符"/>
    <w:link w:val="5"/>
    <w:autoRedefine/>
    <w:qFormat/>
    <w:locked/>
    <w:uiPriority w:val="99"/>
    <w:rPr>
      <w:rFonts w:ascii="Times New Roman" w:hAnsi="Times New Roman" w:eastAsia="仿宋_GB2312"/>
      <w:sz w:val="18"/>
    </w:rPr>
  </w:style>
  <w:style w:type="character" w:customStyle="1" w:styleId="12">
    <w:name w:val="页眉 字符"/>
    <w:link w:val="6"/>
    <w:autoRedefine/>
    <w:qFormat/>
    <w:locked/>
    <w:uiPriority w:val="99"/>
    <w:rPr>
      <w:rFonts w:ascii="Times New Roman" w:hAnsi="Times New Roman" w:eastAsia="仿宋_GB2312"/>
      <w:sz w:val="18"/>
    </w:rPr>
  </w:style>
  <w:style w:type="character" w:customStyle="1" w:styleId="13">
    <w:name w:val="批注框文本 字符"/>
    <w:link w:val="4"/>
    <w:autoRedefine/>
    <w:semiHidden/>
    <w:qFormat/>
    <w:locked/>
    <w:uiPriority w:val="99"/>
    <w:rPr>
      <w:rFonts w:ascii="Times New Roman" w:hAnsi="Times New Roman" w:eastAsia="仿宋_GB2312"/>
      <w:sz w:val="18"/>
    </w:rPr>
  </w:style>
  <w:style w:type="character" w:customStyle="1" w:styleId="14">
    <w:name w:val="日期 字符"/>
    <w:basedOn w:val="8"/>
    <w:link w:val="3"/>
    <w:autoRedefine/>
    <w:semiHidden/>
    <w:qFormat/>
    <w:uiPriority w:val="99"/>
    <w:rPr>
      <w:rFonts w:ascii="Times New Roman" w:hAnsi="Times New Roman" w:eastAsia="仿宋_GB2312"/>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3</Pages>
  <Words>828</Words>
  <Characters>913</Characters>
  <Lines>10</Lines>
  <Paragraphs>3</Paragraphs>
  <TotalTime>10</TotalTime>
  <ScaleCrop>false</ScaleCrop>
  <LinksUpToDate>false</LinksUpToDate>
  <CharactersWithSpaces>913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2024-03-04T08:01:00Z</dcterms:created>
  <dc:creator>Administrator</dc:creator>
  <cp:lastModifiedBy>WPS_1684660113</cp:lastModifiedBy>
  <cp:lastPrinted>2024-02-26T03:19:00Z</cp:lastPrinted>
  <dcterms:modified xsi:type="dcterms:W3CDTF">2025-09-23T06:47:43Z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7637264457764805BE8974C69A34A42C_13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