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08E4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为提升我站监测采样能力，满足我站日常环境监测工作的需要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，江门市蓬江区环境监测站计划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购买一台手持式气象站和更换烟尘烟气测试仪的传感器（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2025A01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，现将该采购项目公开询价信息公告如下，欢迎符合条件的供应商投报《报价单》及相关文件。</w:t>
      </w:r>
    </w:p>
    <w:p w14:paraId="520DB871"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 w14:paraId="6326B94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1.采购项目名称：购买仪器设备（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2025A01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）挂网公开询价公告</w:t>
      </w:r>
    </w:p>
    <w:p w14:paraId="1108623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 w14:paraId="5B61FE4D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24500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元（投报总价超过最高限价的作为无效报价处理）。总费用为总包价，即包含购买仪器设备、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年的质保费用（含质保期间所更换零部件、维修的费用）、初次检定、税费、验收等一切费用。</w:t>
      </w:r>
    </w:p>
    <w:p w14:paraId="47340EA5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二、采购项目技术要求及采购数量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417"/>
        <w:gridCol w:w="900"/>
        <w:gridCol w:w="2266"/>
        <w:gridCol w:w="1500"/>
        <w:gridCol w:w="1091"/>
      </w:tblGrid>
      <w:tr w14:paraId="360F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53" w:type="dxa"/>
            <w:vAlign w:val="center"/>
          </w:tcPr>
          <w:p w14:paraId="109E8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17" w:type="dxa"/>
            <w:vAlign w:val="center"/>
          </w:tcPr>
          <w:p w14:paraId="2FEDFA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仪器设备</w:t>
            </w:r>
          </w:p>
        </w:tc>
        <w:tc>
          <w:tcPr>
            <w:tcW w:w="900" w:type="dxa"/>
            <w:vAlign w:val="center"/>
          </w:tcPr>
          <w:p w14:paraId="6CAB7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2266" w:type="dxa"/>
            <w:vAlign w:val="center"/>
          </w:tcPr>
          <w:p w14:paraId="5B37FFF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生产厂商</w:t>
            </w:r>
          </w:p>
        </w:tc>
        <w:tc>
          <w:tcPr>
            <w:tcW w:w="1500" w:type="dxa"/>
            <w:vAlign w:val="center"/>
          </w:tcPr>
          <w:p w14:paraId="5DDB33D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产品型号</w:t>
            </w:r>
          </w:p>
        </w:tc>
        <w:tc>
          <w:tcPr>
            <w:tcW w:w="1091" w:type="dxa"/>
            <w:vAlign w:val="center"/>
          </w:tcPr>
          <w:p w14:paraId="116995A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 w14:paraId="4499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7943B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17" w:type="dxa"/>
            <w:vAlign w:val="center"/>
          </w:tcPr>
          <w:p w14:paraId="29908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氧气传感器</w:t>
            </w:r>
          </w:p>
        </w:tc>
        <w:tc>
          <w:tcPr>
            <w:tcW w:w="900" w:type="dxa"/>
            <w:vAlign w:val="center"/>
          </w:tcPr>
          <w:p w14:paraId="51EAF9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61C3B0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青岛崂山应用</w:t>
            </w:r>
          </w:p>
        </w:tc>
        <w:tc>
          <w:tcPr>
            <w:tcW w:w="1500" w:type="dxa"/>
            <w:vAlign w:val="center"/>
          </w:tcPr>
          <w:p w14:paraId="0F9045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3012H</w:t>
            </w:r>
          </w:p>
        </w:tc>
        <w:tc>
          <w:tcPr>
            <w:tcW w:w="1091" w:type="dxa"/>
            <w:vMerge w:val="restart"/>
            <w:vAlign w:val="center"/>
          </w:tcPr>
          <w:p w14:paraId="3B9FE66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仪器更换传感器后需包含仪器的校准，出具校准证书。</w:t>
            </w:r>
          </w:p>
        </w:tc>
      </w:tr>
      <w:tr w14:paraId="059A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3D78D6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17" w:type="dxa"/>
            <w:vAlign w:val="center"/>
          </w:tcPr>
          <w:p w14:paraId="4674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一氧化氮传感器</w:t>
            </w:r>
          </w:p>
        </w:tc>
        <w:tc>
          <w:tcPr>
            <w:tcW w:w="900" w:type="dxa"/>
            <w:vAlign w:val="center"/>
          </w:tcPr>
          <w:p w14:paraId="1C235C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0A9456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青岛崂山应用</w:t>
            </w:r>
          </w:p>
        </w:tc>
        <w:tc>
          <w:tcPr>
            <w:tcW w:w="1500" w:type="dxa"/>
            <w:vAlign w:val="center"/>
          </w:tcPr>
          <w:p w14:paraId="10191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3012H</w:t>
            </w:r>
          </w:p>
        </w:tc>
        <w:tc>
          <w:tcPr>
            <w:tcW w:w="1091" w:type="dxa"/>
            <w:vMerge w:val="continue"/>
            <w:vAlign w:val="center"/>
          </w:tcPr>
          <w:p w14:paraId="6136E6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BE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1FD6E1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17" w:type="dxa"/>
            <w:vAlign w:val="center"/>
          </w:tcPr>
          <w:p w14:paraId="755A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二氧化氮传感器</w:t>
            </w:r>
          </w:p>
        </w:tc>
        <w:tc>
          <w:tcPr>
            <w:tcW w:w="900" w:type="dxa"/>
            <w:vAlign w:val="center"/>
          </w:tcPr>
          <w:p w14:paraId="7D115F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40B0C6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青岛崂山应用</w:t>
            </w:r>
          </w:p>
        </w:tc>
        <w:tc>
          <w:tcPr>
            <w:tcW w:w="1500" w:type="dxa"/>
            <w:vAlign w:val="center"/>
          </w:tcPr>
          <w:p w14:paraId="77D02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3012H</w:t>
            </w:r>
          </w:p>
        </w:tc>
        <w:tc>
          <w:tcPr>
            <w:tcW w:w="1091" w:type="dxa"/>
            <w:vMerge w:val="continue"/>
            <w:vAlign w:val="center"/>
          </w:tcPr>
          <w:p w14:paraId="0BC04F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39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731223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17" w:type="dxa"/>
            <w:vAlign w:val="center"/>
          </w:tcPr>
          <w:p w14:paraId="746A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二氧化硫传感器</w:t>
            </w:r>
          </w:p>
        </w:tc>
        <w:tc>
          <w:tcPr>
            <w:tcW w:w="900" w:type="dxa"/>
            <w:vAlign w:val="center"/>
          </w:tcPr>
          <w:p w14:paraId="3B7D5D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3DC79A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青岛崂山应用</w:t>
            </w:r>
          </w:p>
        </w:tc>
        <w:tc>
          <w:tcPr>
            <w:tcW w:w="1500" w:type="dxa"/>
            <w:vAlign w:val="center"/>
          </w:tcPr>
          <w:p w14:paraId="501421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3012H</w:t>
            </w:r>
          </w:p>
        </w:tc>
        <w:tc>
          <w:tcPr>
            <w:tcW w:w="1091" w:type="dxa"/>
            <w:vMerge w:val="continue"/>
            <w:vAlign w:val="center"/>
          </w:tcPr>
          <w:p w14:paraId="1DBBBD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0D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17A699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17" w:type="dxa"/>
            <w:vAlign w:val="center"/>
          </w:tcPr>
          <w:p w14:paraId="7119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一氧化碳传感器</w:t>
            </w:r>
          </w:p>
        </w:tc>
        <w:tc>
          <w:tcPr>
            <w:tcW w:w="900" w:type="dxa"/>
            <w:vAlign w:val="center"/>
          </w:tcPr>
          <w:p w14:paraId="753BEE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7FF8BC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青岛崂山应用</w:t>
            </w:r>
          </w:p>
        </w:tc>
        <w:tc>
          <w:tcPr>
            <w:tcW w:w="1500" w:type="dxa"/>
            <w:vAlign w:val="center"/>
          </w:tcPr>
          <w:p w14:paraId="0F6AE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3012H</w:t>
            </w:r>
          </w:p>
        </w:tc>
        <w:tc>
          <w:tcPr>
            <w:tcW w:w="1091" w:type="dxa"/>
            <w:vMerge w:val="continue"/>
            <w:vAlign w:val="center"/>
          </w:tcPr>
          <w:p w14:paraId="154BBD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A0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3" w:type="dxa"/>
            <w:vAlign w:val="center"/>
          </w:tcPr>
          <w:p w14:paraId="062220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17" w:type="dxa"/>
            <w:vAlign w:val="center"/>
          </w:tcPr>
          <w:p w14:paraId="34FC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手持气象站</w:t>
            </w:r>
          </w:p>
        </w:tc>
        <w:tc>
          <w:tcPr>
            <w:tcW w:w="900" w:type="dxa"/>
            <w:vAlign w:val="center"/>
          </w:tcPr>
          <w:p w14:paraId="41C756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2266" w:type="dxa"/>
            <w:vAlign w:val="center"/>
          </w:tcPr>
          <w:p w14:paraId="070674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风途</w:t>
            </w:r>
          </w:p>
        </w:tc>
        <w:tc>
          <w:tcPr>
            <w:tcW w:w="1500" w:type="dxa"/>
            <w:vAlign w:val="center"/>
          </w:tcPr>
          <w:p w14:paraId="291E96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FT-SQ5-RP</w:t>
            </w:r>
          </w:p>
        </w:tc>
        <w:tc>
          <w:tcPr>
            <w:tcW w:w="1091" w:type="dxa"/>
            <w:vAlign w:val="center"/>
          </w:tcPr>
          <w:p w14:paraId="63708D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19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  <w:jc w:val="center"/>
        </w:trPr>
        <w:tc>
          <w:tcPr>
            <w:tcW w:w="9027" w:type="dxa"/>
            <w:gridSpan w:val="6"/>
            <w:vAlign w:val="center"/>
          </w:tcPr>
          <w:p w14:paraId="289A5F72">
            <w:pPr>
              <w:tabs>
                <w:tab w:val="left" w:pos="1174"/>
              </w:tabs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序号“1-5”的传感器与我站已有烟尘烟气自动测试仪适配；包含仪器安装调试，仪器检定/校准；仪器质量保证两年。</w:t>
            </w:r>
          </w:p>
        </w:tc>
      </w:tr>
    </w:tbl>
    <w:p w14:paraId="41FD9D21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三、采购项目商务要求</w:t>
      </w:r>
    </w:p>
    <w:p w14:paraId="65AE6774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1.交货期限：交货期要求为签订合同</w:t>
      </w:r>
      <w:r>
        <w:rPr>
          <w:rFonts w:hint="eastAsia" w:ascii="Times New Roman" w:hAnsi="Times New Roman" w:eastAsia="宋体" w:cs="宋体"/>
          <w:color w:val="000000"/>
          <w:sz w:val="21"/>
          <w:szCs w:val="21"/>
        </w:rPr>
        <w:t>后15个日历日内。</w:t>
      </w:r>
    </w:p>
    <w:p w14:paraId="73131DF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2.成交供应商负责免费培训采购人有关技术人员，直至掌握操作技术为止。</w:t>
      </w:r>
    </w:p>
    <w:p w14:paraId="43D009FB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3.成交供应商须负责免费保修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两年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，终身提供技术咨询及配件维护。</w:t>
      </w:r>
    </w:p>
    <w:p w14:paraId="6A4DBD56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4.交货方式：成交供应商负责将货物送至江门市蓬江区环境监测站指定地点（江门市蓬江区胜利北路152号珠西创谷1号楼6楼）。</w:t>
      </w:r>
    </w:p>
    <w:p w14:paraId="03DC9580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四、采购项目验收</w:t>
      </w:r>
    </w:p>
    <w:p w14:paraId="2667664C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 w14:paraId="69D4F616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验收标准：符合相关技术标准、采购合同规定；单证齐全，有产品合格证（或质量保证书）、发票和其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他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应当具有单证文件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eastAsia="zh-CN"/>
        </w:rPr>
        <w:t>的证明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。</w:t>
      </w:r>
    </w:p>
    <w:p w14:paraId="239BE266">
      <w:pPr>
        <w:pStyle w:val="4"/>
        <w:widowControl/>
        <w:shd w:val="clear" w:color="auto" w:fill="FFFFFF"/>
        <w:spacing w:beforeAutospacing="0" w:afterAutospacing="0"/>
        <w:rPr>
          <w:rFonts w:hint="default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  <w:lang w:val="en-US" w:eastAsia="zh-CN"/>
        </w:rPr>
        <w:t>3.本次采购采用先货后款的方式，合同签订后，仪器设备经安装调试验收合格后按合同条款进行支付。</w:t>
      </w:r>
    </w:p>
    <w:p w14:paraId="1DAD9C6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五、供应商资质要求</w:t>
      </w:r>
    </w:p>
    <w:p w14:paraId="2A0539B1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 w14:paraId="5814D6B3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 w14:paraId="469F1C8E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六、采购项目评审方法：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  <w:lang w:eastAsia="zh-CN"/>
        </w:rPr>
        <w:t>综合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highlight w:val="none"/>
          <w:shd w:val="clear" w:color="auto" w:fill="FFFFFF"/>
        </w:rPr>
        <w:t>评标法（推荐一名成交供应商）。</w:t>
      </w:r>
    </w:p>
    <w:p w14:paraId="2EFC43B6"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七、采购项目报价文件要求</w:t>
      </w:r>
    </w:p>
    <w:p w14:paraId="6CFB7109"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 w14:paraId="62A0BCE2">
      <w:pPr>
        <w:pStyle w:val="4"/>
        <w:widowControl/>
        <w:shd w:val="clear" w:color="auto" w:fill="FFFFFF"/>
        <w:spacing w:beforeAutospacing="0" w:afterAutospacing="0"/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 w14:paraId="31434846"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 w14:paraId="263C813E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D12EC9"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 w14:paraId="21777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A0EEC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 w14:paraId="48453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9310A3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C1968E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0112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8D076D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4207F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6A262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9BA14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06F7C73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2928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33FA96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7CCADC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45049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D501A9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B5F341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7196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F5B8D04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36F49"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 w14:paraId="3D0DA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43D4D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7F7E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74E4C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B8D7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 w14:paraId="6B379E3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67FB5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3C50E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 w14:paraId="58645393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E57AF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 w14:paraId="7CDFD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53C2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7C503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AD828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D77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94D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C27E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1FF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1BF8F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C47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FCDB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C55B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B35A6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C8FA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5DE0D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3DA01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76F9BA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E5DF0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9B14C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057C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00B35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5B4D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4BAC0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AEA1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 w14:paraId="26D0C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6D7F27"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FD1760"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 w14:paraId="179C6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C12EB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16B4F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AB1C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214A1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682C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AA79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281F34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81CBA"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 w14:paraId="33794A71"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2E08D0A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九、报价文件投报方式</w:t>
      </w:r>
    </w:p>
    <w:p w14:paraId="36DCF4DB"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</w:rPr>
        <w:t>2</w:t>
      </w:r>
      <w:r>
        <w:rPr>
          <w:rFonts w:hint="eastAsia" w:ascii="Times New Roman" w:hAnsi="Times New Roman" w:eastAsia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auto"/>
          <w:sz w:val="21"/>
          <w:szCs w:val="22"/>
          <w:highlight w:val="none"/>
          <w:shd w:val="clear" w:color="auto" w:fill="FFFFFF"/>
        </w:rPr>
        <w:t>日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下午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highlight w:val="none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highlight w:val="none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 w14:paraId="2B54AD1C"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十、采购人联系方式</w:t>
      </w:r>
    </w:p>
    <w:p w14:paraId="269B03DE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单位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名称：江门市蓬江区环境监测站</w:t>
      </w:r>
    </w:p>
    <w:p w14:paraId="7D244DDA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地址：江门市蓬江区胜利路152号珠西创谷1号楼6楼</w:t>
      </w:r>
    </w:p>
    <w:p w14:paraId="44529200"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 w14:paraId="3174957C"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eastAsia="zh-CN"/>
        </w:rPr>
        <w:t>文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先生</w:t>
      </w:r>
    </w:p>
    <w:p w14:paraId="2AB139D3">
      <w:pPr>
        <w:pStyle w:val="4"/>
        <w:widowControl/>
        <w:spacing w:beforeAutospacing="0" w:afterAutospacing="0"/>
        <w:rPr>
          <w:rFonts w:hint="eastAsia" w:ascii="Times New Roman" w:hAnsi="Times New Roman" w:eastAsia="宋体" w:cs="微软雅黑"/>
          <w:sz w:val="21"/>
          <w:lang w:eastAsia="zh-CN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329682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  <w:lang w:val="en-US" w:eastAsia="zh-CN"/>
        </w:rPr>
        <w:t>0</w:t>
      </w:r>
      <w:bookmarkStart w:id="0" w:name="_GoBack"/>
      <w:bookmarkEnd w:id="0"/>
    </w:p>
    <w:p w14:paraId="480628F1"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 w14:paraId="651DE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jJlZGM0MWE3NmMzYWUwNzFjOTNhZGRjNWYwZDQifQ=="/>
  </w:docVars>
  <w:rsids>
    <w:rsidRoot w:val="705631D8"/>
    <w:rsid w:val="00097CA0"/>
    <w:rsid w:val="000B114C"/>
    <w:rsid w:val="000E05F8"/>
    <w:rsid w:val="0011100D"/>
    <w:rsid w:val="00154BB7"/>
    <w:rsid w:val="00166775"/>
    <w:rsid w:val="002249E7"/>
    <w:rsid w:val="002670AC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C7633"/>
    <w:rsid w:val="00924C90"/>
    <w:rsid w:val="009C662A"/>
    <w:rsid w:val="009E2DD9"/>
    <w:rsid w:val="009E71A7"/>
    <w:rsid w:val="00A330B1"/>
    <w:rsid w:val="00B17A86"/>
    <w:rsid w:val="00B26112"/>
    <w:rsid w:val="00B96330"/>
    <w:rsid w:val="00BE0F7E"/>
    <w:rsid w:val="00BE78B0"/>
    <w:rsid w:val="00C137B0"/>
    <w:rsid w:val="00CD0876"/>
    <w:rsid w:val="00CE2B6A"/>
    <w:rsid w:val="00CF16C9"/>
    <w:rsid w:val="00D041AD"/>
    <w:rsid w:val="00D7228D"/>
    <w:rsid w:val="00E07264"/>
    <w:rsid w:val="00F05885"/>
    <w:rsid w:val="00F244E2"/>
    <w:rsid w:val="00F4497E"/>
    <w:rsid w:val="03684555"/>
    <w:rsid w:val="05064CEA"/>
    <w:rsid w:val="08DD09D6"/>
    <w:rsid w:val="0CF965D5"/>
    <w:rsid w:val="0DB16AE6"/>
    <w:rsid w:val="10464C65"/>
    <w:rsid w:val="135C4638"/>
    <w:rsid w:val="16E01C89"/>
    <w:rsid w:val="188905F9"/>
    <w:rsid w:val="19275A4E"/>
    <w:rsid w:val="1D0A16F7"/>
    <w:rsid w:val="1F4B0AAE"/>
    <w:rsid w:val="1F576995"/>
    <w:rsid w:val="240C717B"/>
    <w:rsid w:val="293A2B05"/>
    <w:rsid w:val="30436BD4"/>
    <w:rsid w:val="30F751FA"/>
    <w:rsid w:val="32A036EF"/>
    <w:rsid w:val="35362A05"/>
    <w:rsid w:val="3E5B44F5"/>
    <w:rsid w:val="3E691957"/>
    <w:rsid w:val="3F6865FE"/>
    <w:rsid w:val="41021FC4"/>
    <w:rsid w:val="43010319"/>
    <w:rsid w:val="490D6010"/>
    <w:rsid w:val="49DE4FD1"/>
    <w:rsid w:val="4B9A51A9"/>
    <w:rsid w:val="4E5F0D63"/>
    <w:rsid w:val="4FE7136F"/>
    <w:rsid w:val="4FEF56EC"/>
    <w:rsid w:val="57B072E3"/>
    <w:rsid w:val="587704BD"/>
    <w:rsid w:val="60176562"/>
    <w:rsid w:val="601C4E48"/>
    <w:rsid w:val="62AF704F"/>
    <w:rsid w:val="64E61AF3"/>
    <w:rsid w:val="69AB1384"/>
    <w:rsid w:val="705631D8"/>
    <w:rsid w:val="75D56BD6"/>
    <w:rsid w:val="7A981292"/>
    <w:rsid w:val="7DE6762A"/>
    <w:rsid w:val="7F2B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1380</Words>
  <Characters>1490</Characters>
  <Lines>10</Lines>
  <Paragraphs>2</Paragraphs>
  <TotalTime>25</TotalTime>
  <ScaleCrop>false</ScaleCrop>
  <LinksUpToDate>false</LinksUpToDate>
  <CharactersWithSpaces>1491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2025-07-31T02:52:00Z</cp:lastPrinted>
  <dcterms:modified xsi:type="dcterms:W3CDTF">2025-07-31T07:06:48Z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2A9679F955244CC1B738BD44670D2D9C</vt:lpwstr>
  </property>
  <property fmtid="{D5CDD505-2E9C-101B-9397-08002B2CF9AE}" pid="4" name="KSOTemplateDocerSaveRecord">
    <vt:lpwstr>eyJoZGlkIjoiZWQyMjgxNmRlZGJmNjVlNzc5MzQ4NGYxMDJhOTJlZTAifQ==</vt:lpwstr>
  </property>
</Properties>
</file>