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18BBF">
      <w:pPr>
        <w:pStyle w:val="4"/>
        <w:outlineLvl w:val="3"/>
        <w:rPr>
          <w:rFonts w:hint="eastAsia"/>
          <w:b/>
          <w:color w:val="auto"/>
          <w:sz w:val="22"/>
          <w:szCs w:val="22"/>
          <w:highlight w:val="none"/>
          <w:lang w:val="en-US" w:eastAsia="zh-CN"/>
        </w:rPr>
      </w:pPr>
      <w:bookmarkStart w:id="0" w:name="_GoBack"/>
      <w:bookmarkEnd w:id="0"/>
      <w:r>
        <w:rPr>
          <w:rFonts w:hint="eastAsia"/>
          <w:b/>
          <w:color w:val="auto"/>
          <w:sz w:val="22"/>
          <w:szCs w:val="22"/>
          <w:highlight w:val="none"/>
          <w:lang w:eastAsia="zh-CN"/>
        </w:rPr>
        <w:t>附件</w:t>
      </w:r>
      <w:r>
        <w:rPr>
          <w:rFonts w:hint="eastAsia"/>
          <w:b/>
          <w:color w:val="auto"/>
          <w:sz w:val="22"/>
          <w:szCs w:val="22"/>
          <w:highlight w:val="none"/>
          <w:lang w:val="en-US" w:eastAsia="zh-CN"/>
        </w:rPr>
        <w:t>1：</w:t>
      </w:r>
    </w:p>
    <w:p w14:paraId="26074D6E">
      <w:pPr>
        <w:pStyle w:val="4"/>
        <w:outlineLvl w:val="3"/>
        <w:rPr>
          <w:color w:val="auto"/>
          <w:sz w:val="22"/>
          <w:szCs w:val="22"/>
          <w:highlight w:val="none"/>
        </w:rPr>
      </w:pPr>
      <w:r>
        <w:rPr>
          <w:b/>
          <w:color w:val="auto"/>
          <w:sz w:val="22"/>
          <w:szCs w:val="22"/>
          <w:highlight w:val="none"/>
        </w:rPr>
        <w:t>1.资格性审查和符合性审查</w:t>
      </w:r>
    </w:p>
    <w:p w14:paraId="2217CBFC">
      <w:pPr>
        <w:pStyle w:val="4"/>
        <w:ind w:firstLine="480"/>
        <w:rPr>
          <w:color w:val="auto"/>
          <w:sz w:val="22"/>
          <w:szCs w:val="22"/>
          <w:highlight w:val="none"/>
        </w:rPr>
      </w:pPr>
      <w:r>
        <w:rPr>
          <w:color w:val="auto"/>
          <w:sz w:val="22"/>
          <w:szCs w:val="22"/>
          <w:highlight w:val="none"/>
        </w:rPr>
        <w:t>表一资格性审查表：</w:t>
      </w:r>
    </w:p>
    <w:p w14:paraId="030F2360">
      <w:pPr>
        <w:pStyle w:val="4"/>
        <w:rPr>
          <w:color w:val="auto"/>
          <w:sz w:val="22"/>
          <w:szCs w:val="22"/>
          <w:highlight w:val="none"/>
        </w:rPr>
      </w:pPr>
      <w:r>
        <w:rPr>
          <w:color w:val="auto"/>
          <w:sz w:val="22"/>
          <w:szCs w:val="22"/>
          <w:highlight w:val="none"/>
        </w:rPr>
        <w:t>采购包1（</w:t>
      </w:r>
      <w:r>
        <w:rPr>
          <w:rFonts w:hint="eastAsia"/>
          <w:color w:val="auto"/>
          <w:sz w:val="22"/>
          <w:szCs w:val="22"/>
          <w:highlight w:val="none"/>
        </w:rPr>
        <w:t>2025年文书、会计和基建档案整理服务项目</w:t>
      </w:r>
      <w:r>
        <w:rPr>
          <w:color w:val="auto"/>
          <w:sz w:val="22"/>
          <w:szCs w:val="22"/>
          <w:highlight w:val="none"/>
        </w:rPr>
        <w:t>）：</w:t>
      </w:r>
    </w:p>
    <w:tbl>
      <w:tblPr>
        <w:tblStyle w:val="2"/>
        <w:tblW w:w="88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808"/>
      </w:tblGrid>
      <w:tr w14:paraId="12461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14:paraId="1C4A537E">
            <w:pPr>
              <w:pStyle w:val="4"/>
              <w:rPr>
                <w:color w:val="auto"/>
                <w:sz w:val="22"/>
                <w:szCs w:val="22"/>
                <w:highlight w:val="none"/>
              </w:rPr>
            </w:pPr>
            <w:r>
              <w:rPr>
                <w:color w:val="auto"/>
                <w:sz w:val="22"/>
                <w:szCs w:val="22"/>
                <w:highlight w:val="none"/>
              </w:rPr>
              <w:t>序号</w:t>
            </w:r>
          </w:p>
        </w:tc>
        <w:tc>
          <w:tcPr>
            <w:tcW w:w="7986" w:type="dxa"/>
            <w:gridSpan w:val="2"/>
          </w:tcPr>
          <w:p w14:paraId="120BB822">
            <w:pPr>
              <w:pStyle w:val="4"/>
              <w:rPr>
                <w:color w:val="auto"/>
                <w:sz w:val="22"/>
                <w:szCs w:val="22"/>
                <w:highlight w:val="none"/>
              </w:rPr>
            </w:pPr>
            <w:r>
              <w:rPr>
                <w:color w:val="auto"/>
                <w:sz w:val="22"/>
                <w:szCs w:val="22"/>
                <w:highlight w:val="none"/>
              </w:rPr>
              <w:t>资格审查内容</w:t>
            </w:r>
          </w:p>
        </w:tc>
      </w:tr>
      <w:tr w14:paraId="35F69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A32BB93">
            <w:pPr>
              <w:pStyle w:val="4"/>
              <w:rPr>
                <w:rFonts w:hint="eastAsia" w:eastAsiaTheme="minorEastAsia"/>
                <w:color w:val="auto"/>
                <w:sz w:val="22"/>
                <w:szCs w:val="22"/>
                <w:highlight w:val="none"/>
                <w:lang w:eastAsia="zh-CN"/>
              </w:rPr>
            </w:pPr>
            <w:r>
              <w:rPr>
                <w:rFonts w:hint="eastAsia"/>
                <w:color w:val="auto"/>
                <w:sz w:val="22"/>
                <w:szCs w:val="22"/>
                <w:highlight w:val="none"/>
                <w:lang w:val="en-US" w:eastAsia="zh-CN"/>
              </w:rPr>
              <w:t>1</w:t>
            </w:r>
          </w:p>
        </w:tc>
        <w:tc>
          <w:tcPr>
            <w:tcW w:w="3178" w:type="dxa"/>
          </w:tcPr>
          <w:p w14:paraId="102EF86A">
            <w:pPr>
              <w:pStyle w:val="4"/>
              <w:rPr>
                <w:rFonts w:hint="eastAsia" w:eastAsiaTheme="minorEastAsia"/>
                <w:color w:val="auto"/>
                <w:sz w:val="22"/>
                <w:szCs w:val="22"/>
                <w:highlight w:val="none"/>
                <w:lang w:eastAsia="zh-CN"/>
              </w:rPr>
            </w:pPr>
            <w:r>
              <w:rPr>
                <w:rFonts w:hint="eastAsia"/>
                <w:color w:val="auto"/>
                <w:sz w:val="22"/>
                <w:szCs w:val="22"/>
                <w:highlight w:val="none"/>
                <w:lang w:eastAsia="zh-CN"/>
              </w:rPr>
              <w:t>备案要求</w:t>
            </w:r>
          </w:p>
        </w:tc>
        <w:tc>
          <w:tcPr>
            <w:tcW w:w="4808" w:type="dxa"/>
          </w:tcPr>
          <w:p w14:paraId="40A86ACB">
            <w:pPr>
              <w:pStyle w:val="4"/>
              <w:rPr>
                <w:color w:val="auto"/>
                <w:sz w:val="22"/>
                <w:szCs w:val="22"/>
                <w:highlight w:val="none"/>
              </w:rPr>
            </w:pPr>
            <w:r>
              <w:rPr>
                <w:rFonts w:hint="eastAsia"/>
                <w:color w:val="auto"/>
                <w:sz w:val="22"/>
                <w:szCs w:val="22"/>
                <w:highlight w:val="none"/>
              </w:rPr>
              <w:t>在江门市</w:t>
            </w:r>
            <w:r>
              <w:rPr>
                <w:rFonts w:hint="eastAsia"/>
                <w:color w:val="auto"/>
                <w:sz w:val="22"/>
                <w:szCs w:val="22"/>
                <w:highlight w:val="none"/>
                <w:lang w:eastAsia="zh-CN"/>
              </w:rPr>
              <w:t>内</w:t>
            </w:r>
            <w:r>
              <w:rPr>
                <w:rFonts w:hint="eastAsia"/>
                <w:color w:val="auto"/>
                <w:sz w:val="22"/>
                <w:szCs w:val="22"/>
                <w:highlight w:val="none"/>
              </w:rPr>
              <w:t>档案行政管理部门登记备案的中介服务机构。</w:t>
            </w:r>
          </w:p>
        </w:tc>
      </w:tr>
      <w:tr w14:paraId="21239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A88E44F">
            <w:pPr>
              <w:pStyle w:val="4"/>
              <w:rPr>
                <w:rFonts w:hint="eastAsia" w:eastAsiaTheme="minorEastAsia"/>
                <w:color w:val="auto"/>
                <w:sz w:val="22"/>
                <w:szCs w:val="22"/>
                <w:highlight w:val="none"/>
                <w:lang w:eastAsia="zh-CN"/>
              </w:rPr>
            </w:pPr>
            <w:r>
              <w:rPr>
                <w:rFonts w:hint="eastAsia"/>
                <w:color w:val="auto"/>
                <w:sz w:val="22"/>
                <w:szCs w:val="22"/>
                <w:highlight w:val="none"/>
                <w:lang w:val="en-US" w:eastAsia="zh-CN"/>
              </w:rPr>
              <w:t>2</w:t>
            </w:r>
          </w:p>
        </w:tc>
        <w:tc>
          <w:tcPr>
            <w:tcW w:w="3178" w:type="dxa"/>
          </w:tcPr>
          <w:p w14:paraId="234C8C4E">
            <w:pPr>
              <w:pStyle w:val="4"/>
              <w:rPr>
                <w:rFonts w:hint="eastAsia" w:eastAsiaTheme="minorEastAsia"/>
                <w:color w:val="auto"/>
                <w:sz w:val="22"/>
                <w:szCs w:val="22"/>
                <w:highlight w:val="none"/>
                <w:lang w:eastAsia="zh-CN"/>
              </w:rPr>
            </w:pPr>
            <w:r>
              <w:rPr>
                <w:rFonts w:hint="eastAsia"/>
                <w:color w:val="auto"/>
                <w:sz w:val="22"/>
                <w:szCs w:val="22"/>
                <w:highlight w:val="none"/>
                <w:lang w:eastAsia="zh-CN"/>
              </w:rPr>
              <w:t>经营资质和范围</w:t>
            </w:r>
          </w:p>
        </w:tc>
        <w:tc>
          <w:tcPr>
            <w:tcW w:w="4808" w:type="dxa"/>
          </w:tcPr>
          <w:p w14:paraId="66B7F0EE">
            <w:pPr>
              <w:pStyle w:val="4"/>
              <w:rPr>
                <w:color w:val="auto"/>
                <w:sz w:val="22"/>
                <w:szCs w:val="22"/>
                <w:highlight w:val="none"/>
              </w:rPr>
            </w:pPr>
            <w:r>
              <w:rPr>
                <w:rFonts w:hint="eastAsia"/>
                <w:color w:val="auto"/>
                <w:sz w:val="22"/>
                <w:szCs w:val="22"/>
                <w:highlight w:val="none"/>
              </w:rPr>
              <w:t>必须是合法注册登记的企业法人，具有独立法人资格；具备年审有效的经营许可证明：企业法人营业执照、社会信用代码证；具备档案管理服务和档案用品的经营范围。</w:t>
            </w:r>
          </w:p>
        </w:tc>
      </w:tr>
      <w:tr w14:paraId="689BA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81DADF1">
            <w:pPr>
              <w:pStyle w:val="4"/>
              <w:rPr>
                <w:rFonts w:hint="eastAsia" w:eastAsiaTheme="minorEastAsia"/>
                <w:color w:val="auto"/>
                <w:sz w:val="22"/>
                <w:szCs w:val="22"/>
                <w:highlight w:val="none"/>
                <w:lang w:eastAsia="zh-CN"/>
              </w:rPr>
            </w:pPr>
            <w:r>
              <w:rPr>
                <w:rFonts w:hint="eastAsia"/>
                <w:color w:val="auto"/>
                <w:sz w:val="22"/>
                <w:szCs w:val="22"/>
                <w:highlight w:val="none"/>
                <w:lang w:val="en-US" w:eastAsia="zh-CN"/>
              </w:rPr>
              <w:t>3</w:t>
            </w:r>
          </w:p>
        </w:tc>
        <w:tc>
          <w:tcPr>
            <w:tcW w:w="3178" w:type="dxa"/>
          </w:tcPr>
          <w:p w14:paraId="1E494174">
            <w:pPr>
              <w:pStyle w:val="4"/>
              <w:rPr>
                <w:rFonts w:hint="eastAsia" w:eastAsiaTheme="minorEastAsia"/>
                <w:color w:val="auto"/>
                <w:sz w:val="22"/>
                <w:szCs w:val="22"/>
                <w:highlight w:val="none"/>
                <w:lang w:eastAsia="zh-CN"/>
              </w:rPr>
            </w:pPr>
            <w:r>
              <w:rPr>
                <w:rFonts w:hint="eastAsia"/>
                <w:color w:val="auto"/>
                <w:sz w:val="22"/>
                <w:szCs w:val="22"/>
                <w:highlight w:val="none"/>
                <w:lang w:eastAsia="zh-CN"/>
              </w:rPr>
              <w:t>人员要求</w:t>
            </w:r>
          </w:p>
        </w:tc>
        <w:tc>
          <w:tcPr>
            <w:tcW w:w="4808" w:type="dxa"/>
          </w:tcPr>
          <w:p w14:paraId="02808991">
            <w:pPr>
              <w:pStyle w:val="4"/>
              <w:rPr>
                <w:color w:val="auto"/>
                <w:sz w:val="22"/>
                <w:szCs w:val="22"/>
                <w:highlight w:val="none"/>
              </w:rPr>
            </w:pPr>
            <w:r>
              <w:rPr>
                <w:rFonts w:hint="eastAsia"/>
                <w:color w:val="auto"/>
                <w:sz w:val="22"/>
                <w:szCs w:val="22"/>
                <w:highlight w:val="none"/>
              </w:rPr>
              <w:t>具有档案整理和数字化加工经验，整理员需具有档案局核发的专业上岗证，拟委派的项目负责人需具备档案中级或以上职称人员。报价时提供印证材料备查。</w:t>
            </w:r>
          </w:p>
        </w:tc>
      </w:tr>
      <w:tr w14:paraId="22D7A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C077F15">
            <w:pPr>
              <w:pStyle w:val="4"/>
              <w:rPr>
                <w:rFonts w:hint="eastAsia" w:eastAsiaTheme="minorEastAsia"/>
                <w:color w:val="auto"/>
                <w:sz w:val="22"/>
                <w:szCs w:val="22"/>
                <w:highlight w:val="none"/>
                <w:lang w:eastAsia="zh-CN"/>
              </w:rPr>
            </w:pPr>
            <w:r>
              <w:rPr>
                <w:rFonts w:hint="eastAsia"/>
                <w:color w:val="auto"/>
                <w:sz w:val="22"/>
                <w:szCs w:val="22"/>
                <w:highlight w:val="none"/>
                <w:lang w:val="en-US" w:eastAsia="zh-CN"/>
              </w:rPr>
              <w:t>4</w:t>
            </w:r>
          </w:p>
        </w:tc>
        <w:tc>
          <w:tcPr>
            <w:tcW w:w="3178" w:type="dxa"/>
          </w:tcPr>
          <w:p w14:paraId="5FB19203">
            <w:pPr>
              <w:pStyle w:val="4"/>
              <w:rPr>
                <w:color w:val="auto"/>
                <w:sz w:val="22"/>
                <w:szCs w:val="22"/>
                <w:highlight w:val="none"/>
              </w:rPr>
            </w:pPr>
            <w:r>
              <w:rPr>
                <w:color w:val="auto"/>
                <w:sz w:val="22"/>
                <w:szCs w:val="22"/>
                <w:highlight w:val="none"/>
              </w:rPr>
              <w:t>信用记录</w:t>
            </w:r>
          </w:p>
        </w:tc>
        <w:tc>
          <w:tcPr>
            <w:tcW w:w="4808" w:type="dxa"/>
          </w:tcPr>
          <w:p w14:paraId="0133491B">
            <w:pPr>
              <w:pStyle w:val="4"/>
              <w:rPr>
                <w:color w:val="auto"/>
                <w:sz w:val="22"/>
                <w:szCs w:val="22"/>
                <w:highlight w:val="none"/>
              </w:rPr>
            </w:pPr>
            <w:r>
              <w:rPr>
                <w:color w:val="auto"/>
                <w:sz w:val="22"/>
                <w:szCs w:val="22"/>
                <w:highlight w:val="none"/>
              </w:rPr>
              <w:t>供应商未被列入“信用中国”网站(www.creditchina.gov.cn)“记录失信被执行人或重大税收违法案件当事人名单。（以资格审查人员于投标（响应）截止时间当天在“信用中国”网站（www.creditchina.gov.cn）查询结果为准，如相关失信记录已失效，供应商需提供相关证明资料）。</w:t>
            </w:r>
          </w:p>
        </w:tc>
      </w:tr>
      <w:tr w14:paraId="54A85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top"/>
          </w:tcPr>
          <w:p w14:paraId="04A43E33">
            <w:pPr>
              <w:pStyle w:val="4"/>
              <w:rPr>
                <w:rFonts w:hint="eastAsia" w:eastAsiaTheme="minorEastAsia"/>
                <w:color w:val="auto"/>
                <w:sz w:val="22"/>
                <w:szCs w:val="22"/>
                <w:highlight w:val="none"/>
                <w:lang w:eastAsia="zh-CN"/>
              </w:rPr>
            </w:pPr>
            <w:r>
              <w:rPr>
                <w:rFonts w:hint="eastAsia"/>
                <w:color w:val="auto"/>
                <w:sz w:val="22"/>
                <w:szCs w:val="22"/>
                <w:highlight w:val="none"/>
                <w:lang w:val="en-US" w:eastAsia="zh-CN"/>
              </w:rPr>
              <w:t>5</w:t>
            </w:r>
          </w:p>
        </w:tc>
        <w:tc>
          <w:tcPr>
            <w:tcW w:w="3178" w:type="dxa"/>
            <w:vAlign w:val="top"/>
          </w:tcPr>
          <w:p w14:paraId="691D1591">
            <w:pPr>
              <w:pStyle w:val="4"/>
              <w:rPr>
                <w:color w:val="auto"/>
                <w:sz w:val="22"/>
                <w:szCs w:val="22"/>
                <w:highlight w:val="none"/>
              </w:rPr>
            </w:pPr>
            <w:r>
              <w:rPr>
                <w:rFonts w:hint="eastAsia"/>
                <w:color w:val="auto"/>
                <w:sz w:val="22"/>
                <w:szCs w:val="22"/>
                <w:highlight w:val="none"/>
                <w:lang w:eastAsia="zh-CN"/>
              </w:rPr>
              <w:t>其他要求</w:t>
            </w:r>
          </w:p>
        </w:tc>
        <w:tc>
          <w:tcPr>
            <w:tcW w:w="4808" w:type="dxa"/>
            <w:vAlign w:val="top"/>
          </w:tcPr>
          <w:p w14:paraId="0EF802E7">
            <w:pPr>
              <w:pStyle w:val="4"/>
              <w:rPr>
                <w:rFonts w:hint="eastAsia"/>
                <w:color w:val="auto"/>
                <w:sz w:val="22"/>
                <w:szCs w:val="22"/>
                <w:highlight w:val="none"/>
              </w:rPr>
            </w:pPr>
            <w:r>
              <w:rPr>
                <w:rFonts w:hint="eastAsia"/>
                <w:color w:val="auto"/>
                <w:sz w:val="22"/>
                <w:szCs w:val="22"/>
                <w:highlight w:val="none"/>
                <w:lang w:val="en-US" w:eastAsia="zh-CN"/>
              </w:rPr>
              <w:t>1.</w:t>
            </w:r>
            <w:r>
              <w:rPr>
                <w:rFonts w:hint="eastAsia"/>
                <w:color w:val="auto"/>
                <w:sz w:val="22"/>
                <w:szCs w:val="22"/>
                <w:highlight w:val="none"/>
              </w:rPr>
              <w:t>采购人与供应服务商需就此档案整理项目签订保密协议书。</w:t>
            </w:r>
          </w:p>
          <w:p w14:paraId="02856B6E">
            <w:pPr>
              <w:pStyle w:val="4"/>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2.本项目不允许转包，不接受联合体服务。</w:t>
            </w:r>
          </w:p>
        </w:tc>
      </w:tr>
    </w:tbl>
    <w:p w14:paraId="5AF318D7">
      <w:pPr>
        <w:pStyle w:val="4"/>
        <w:ind w:firstLine="480"/>
        <w:rPr>
          <w:color w:val="auto"/>
          <w:sz w:val="22"/>
          <w:szCs w:val="22"/>
          <w:highlight w:val="none"/>
        </w:rPr>
      </w:pPr>
      <w:r>
        <w:rPr>
          <w:color w:val="auto"/>
          <w:sz w:val="22"/>
          <w:szCs w:val="22"/>
          <w:highlight w:val="none"/>
        </w:rPr>
        <w:t>表二符合性审查表：</w:t>
      </w:r>
    </w:p>
    <w:p w14:paraId="1256268C">
      <w:pPr>
        <w:pStyle w:val="4"/>
        <w:rPr>
          <w:color w:val="auto"/>
          <w:sz w:val="22"/>
          <w:szCs w:val="22"/>
          <w:highlight w:val="none"/>
        </w:rPr>
      </w:pPr>
      <w:r>
        <w:rPr>
          <w:color w:val="auto"/>
          <w:sz w:val="22"/>
          <w:szCs w:val="22"/>
          <w:highlight w:val="none"/>
        </w:rPr>
        <w:t>采购包1（</w:t>
      </w:r>
      <w:r>
        <w:rPr>
          <w:rFonts w:hint="eastAsia"/>
          <w:color w:val="auto"/>
          <w:sz w:val="22"/>
          <w:szCs w:val="22"/>
          <w:highlight w:val="none"/>
        </w:rPr>
        <w:t>2025年文书、会计和基建档案整理服务项目</w:t>
      </w:r>
      <w:r>
        <w:rPr>
          <w:color w:val="auto"/>
          <w:sz w:val="22"/>
          <w:szCs w:val="22"/>
          <w:highlight w:val="none"/>
        </w:rPr>
        <w:t>）：</w:t>
      </w:r>
    </w:p>
    <w:tbl>
      <w:tblPr>
        <w:tblStyle w:val="2"/>
        <w:tblW w:w="871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643"/>
      </w:tblGrid>
      <w:tr w14:paraId="66FC5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0DD7EB0">
            <w:pPr>
              <w:pStyle w:val="4"/>
              <w:rPr>
                <w:color w:val="auto"/>
                <w:sz w:val="22"/>
                <w:szCs w:val="22"/>
                <w:highlight w:val="none"/>
              </w:rPr>
            </w:pPr>
            <w:r>
              <w:rPr>
                <w:color w:val="auto"/>
                <w:sz w:val="22"/>
                <w:szCs w:val="22"/>
                <w:highlight w:val="none"/>
              </w:rPr>
              <w:t>序号</w:t>
            </w:r>
          </w:p>
        </w:tc>
        <w:tc>
          <w:tcPr>
            <w:tcW w:w="3178" w:type="dxa"/>
          </w:tcPr>
          <w:p w14:paraId="384051C0">
            <w:pPr>
              <w:pStyle w:val="4"/>
              <w:rPr>
                <w:color w:val="auto"/>
                <w:sz w:val="22"/>
                <w:szCs w:val="22"/>
                <w:highlight w:val="none"/>
              </w:rPr>
            </w:pPr>
            <w:r>
              <w:rPr>
                <w:color w:val="auto"/>
                <w:sz w:val="22"/>
                <w:szCs w:val="22"/>
                <w:highlight w:val="none"/>
              </w:rPr>
              <w:t>评审点要求概况</w:t>
            </w:r>
          </w:p>
        </w:tc>
        <w:tc>
          <w:tcPr>
            <w:tcW w:w="4643" w:type="dxa"/>
          </w:tcPr>
          <w:p w14:paraId="1E372EBB">
            <w:pPr>
              <w:pStyle w:val="4"/>
              <w:rPr>
                <w:color w:val="auto"/>
                <w:sz w:val="22"/>
                <w:szCs w:val="22"/>
                <w:highlight w:val="none"/>
              </w:rPr>
            </w:pPr>
            <w:r>
              <w:rPr>
                <w:color w:val="auto"/>
                <w:sz w:val="22"/>
                <w:szCs w:val="22"/>
                <w:highlight w:val="none"/>
              </w:rPr>
              <w:t>评审点具体描述</w:t>
            </w:r>
          </w:p>
        </w:tc>
      </w:tr>
      <w:tr w14:paraId="6C4F0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5" w:hRule="atLeast"/>
        </w:trPr>
        <w:tc>
          <w:tcPr>
            <w:tcW w:w="890" w:type="dxa"/>
          </w:tcPr>
          <w:p w14:paraId="3D05AC24">
            <w:pPr>
              <w:pStyle w:val="4"/>
              <w:rPr>
                <w:color w:val="auto"/>
                <w:sz w:val="22"/>
                <w:szCs w:val="22"/>
                <w:highlight w:val="none"/>
              </w:rPr>
            </w:pPr>
            <w:r>
              <w:rPr>
                <w:color w:val="auto"/>
                <w:sz w:val="22"/>
                <w:szCs w:val="22"/>
                <w:highlight w:val="none"/>
              </w:rPr>
              <w:t>1</w:t>
            </w:r>
          </w:p>
        </w:tc>
        <w:tc>
          <w:tcPr>
            <w:tcW w:w="3178" w:type="dxa"/>
          </w:tcPr>
          <w:p w14:paraId="7356CBCD">
            <w:pPr>
              <w:pStyle w:val="4"/>
              <w:rPr>
                <w:color w:val="auto"/>
                <w:sz w:val="22"/>
                <w:szCs w:val="22"/>
                <w:highlight w:val="none"/>
              </w:rPr>
            </w:pPr>
            <w:r>
              <w:rPr>
                <w:rFonts w:hint="eastAsia"/>
                <w:color w:val="auto"/>
                <w:sz w:val="22"/>
                <w:szCs w:val="22"/>
                <w:highlight w:val="none"/>
                <w:lang w:val="en-US" w:eastAsia="zh-CN"/>
              </w:rPr>
              <w:t>法定代表人</w:t>
            </w:r>
            <w:r>
              <w:rPr>
                <w:color w:val="auto"/>
                <w:sz w:val="22"/>
                <w:szCs w:val="22"/>
                <w:highlight w:val="none"/>
                <w:lang w:val="en-US" w:eastAsia="zh-CN"/>
              </w:rPr>
              <w:t>/</w:t>
            </w:r>
            <w:r>
              <w:rPr>
                <w:rFonts w:hint="eastAsia"/>
                <w:color w:val="auto"/>
                <w:sz w:val="22"/>
                <w:szCs w:val="22"/>
                <w:highlight w:val="none"/>
                <w:lang w:val="en-US" w:eastAsia="zh-CN"/>
              </w:rPr>
              <w:t>负责人资格证明书及授权委托书</w:t>
            </w:r>
          </w:p>
        </w:tc>
        <w:tc>
          <w:tcPr>
            <w:tcW w:w="4643" w:type="dxa"/>
          </w:tcPr>
          <w:p w14:paraId="4B7D9089">
            <w:pPr>
              <w:pStyle w:val="4"/>
              <w:rPr>
                <w:color w:val="auto"/>
                <w:sz w:val="22"/>
                <w:szCs w:val="22"/>
                <w:highlight w:val="none"/>
              </w:rPr>
            </w:pPr>
            <w:r>
              <w:rPr>
                <w:rFonts w:hint="eastAsia"/>
                <w:color w:val="auto"/>
                <w:sz w:val="22"/>
                <w:szCs w:val="22"/>
                <w:highlight w:val="none"/>
                <w:lang w:val="en-US" w:eastAsia="zh-CN"/>
              </w:rPr>
              <w:t>法定代表人</w:t>
            </w:r>
            <w:r>
              <w:rPr>
                <w:color w:val="auto"/>
                <w:sz w:val="22"/>
                <w:szCs w:val="22"/>
                <w:highlight w:val="none"/>
                <w:lang w:val="en-US" w:eastAsia="zh-CN"/>
              </w:rPr>
              <w:t>/</w:t>
            </w:r>
            <w:r>
              <w:rPr>
                <w:rFonts w:hint="eastAsia"/>
                <w:color w:val="auto"/>
                <w:sz w:val="22"/>
                <w:szCs w:val="22"/>
                <w:highlight w:val="none"/>
                <w:lang w:val="en-US" w:eastAsia="zh-CN"/>
              </w:rPr>
              <w:t>负责人资格证明书及授权委托书，按对应格式文件签署、盖章。</w:t>
            </w:r>
          </w:p>
        </w:tc>
      </w:tr>
      <w:tr w14:paraId="0E86A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9" w:hRule="atLeast"/>
        </w:trPr>
        <w:tc>
          <w:tcPr>
            <w:tcW w:w="890" w:type="dxa"/>
          </w:tcPr>
          <w:p w14:paraId="747E19E6">
            <w:pPr>
              <w:pStyle w:val="4"/>
              <w:rPr>
                <w:color w:val="auto"/>
                <w:sz w:val="22"/>
                <w:szCs w:val="22"/>
                <w:highlight w:val="none"/>
              </w:rPr>
            </w:pPr>
            <w:r>
              <w:rPr>
                <w:color w:val="auto"/>
                <w:sz w:val="22"/>
                <w:szCs w:val="22"/>
                <w:highlight w:val="none"/>
              </w:rPr>
              <w:t>2</w:t>
            </w:r>
          </w:p>
        </w:tc>
        <w:tc>
          <w:tcPr>
            <w:tcW w:w="3178" w:type="dxa"/>
          </w:tcPr>
          <w:p w14:paraId="5BF17A5D">
            <w:pPr>
              <w:pStyle w:val="4"/>
              <w:rPr>
                <w:color w:val="auto"/>
                <w:sz w:val="22"/>
                <w:szCs w:val="22"/>
                <w:highlight w:val="none"/>
              </w:rPr>
            </w:pPr>
            <w:r>
              <w:rPr>
                <w:rFonts w:hint="eastAsia"/>
                <w:color w:val="auto"/>
                <w:sz w:val="22"/>
                <w:szCs w:val="22"/>
                <w:highlight w:val="none"/>
                <w:lang w:val="en-US" w:eastAsia="zh-CN"/>
              </w:rPr>
              <w:t>报价函</w:t>
            </w:r>
          </w:p>
        </w:tc>
        <w:tc>
          <w:tcPr>
            <w:tcW w:w="4643" w:type="dxa"/>
          </w:tcPr>
          <w:p w14:paraId="2BE17E91">
            <w:pPr>
              <w:pStyle w:val="4"/>
              <w:rPr>
                <w:color w:val="auto"/>
                <w:sz w:val="22"/>
                <w:szCs w:val="22"/>
                <w:highlight w:val="none"/>
              </w:rPr>
            </w:pPr>
            <w:r>
              <w:rPr>
                <w:rFonts w:hint="eastAsia"/>
                <w:color w:val="auto"/>
                <w:sz w:val="22"/>
                <w:szCs w:val="22"/>
                <w:highlight w:val="none"/>
                <w:lang w:val="en-US" w:eastAsia="zh-CN"/>
              </w:rPr>
              <w:t>提交报价函。报价文件完整，报价内容基本完整，无重大错漏，并按要求密封、签署、盖章。</w:t>
            </w:r>
          </w:p>
        </w:tc>
      </w:tr>
    </w:tbl>
    <w:p w14:paraId="24DA27AB">
      <w:pPr>
        <w:pStyle w:val="4"/>
        <w:outlineLvl w:val="3"/>
        <w:rPr>
          <w:color w:val="auto"/>
          <w:sz w:val="22"/>
          <w:szCs w:val="22"/>
          <w:highlight w:val="none"/>
        </w:rPr>
      </w:pPr>
      <w:r>
        <w:rPr>
          <w:rFonts w:hint="eastAsia"/>
          <w:b/>
          <w:color w:val="auto"/>
          <w:sz w:val="22"/>
          <w:szCs w:val="22"/>
          <w:highlight w:val="none"/>
          <w:lang w:val="en-US" w:eastAsia="zh-CN"/>
        </w:rPr>
        <w:t>2</w:t>
      </w:r>
      <w:r>
        <w:rPr>
          <w:b/>
          <w:color w:val="auto"/>
          <w:sz w:val="22"/>
          <w:szCs w:val="22"/>
          <w:highlight w:val="none"/>
        </w:rPr>
        <w:t>.详细评审</w:t>
      </w:r>
    </w:p>
    <w:p w14:paraId="6D711ACB">
      <w:pPr>
        <w:pStyle w:val="4"/>
        <w:rPr>
          <w:color w:val="auto"/>
          <w:sz w:val="22"/>
          <w:szCs w:val="22"/>
          <w:highlight w:val="none"/>
        </w:rPr>
      </w:pPr>
      <w:r>
        <w:rPr>
          <w:color w:val="auto"/>
          <w:sz w:val="22"/>
          <w:szCs w:val="22"/>
          <w:highlight w:val="none"/>
        </w:rPr>
        <w:t>采购包1(</w:t>
      </w:r>
      <w:r>
        <w:rPr>
          <w:rFonts w:hint="eastAsia"/>
          <w:color w:val="auto"/>
          <w:sz w:val="22"/>
          <w:szCs w:val="22"/>
          <w:highlight w:val="none"/>
        </w:rPr>
        <w:t>2025年文书、会计和基建档案整理服务项目</w:t>
      </w:r>
      <w:r>
        <w:rPr>
          <w:color w:val="auto"/>
          <w:sz w:val="22"/>
          <w:szCs w:val="22"/>
          <w:highlight w:val="none"/>
        </w:rPr>
        <w:t>):</w:t>
      </w:r>
    </w:p>
    <w:tbl>
      <w:tblPr>
        <w:tblStyle w:val="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183"/>
        <w:gridCol w:w="1201"/>
        <w:gridCol w:w="757"/>
        <w:gridCol w:w="5427"/>
      </w:tblGrid>
      <w:tr w14:paraId="46B3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2E35BC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Cs/>
                <w:color w:val="auto"/>
                <w:spacing w:val="8"/>
                <w:sz w:val="22"/>
                <w:szCs w:val="22"/>
              </w:rPr>
            </w:pPr>
            <w:r>
              <w:rPr>
                <w:rFonts w:hint="eastAsia" w:ascii="宋体" w:hAnsi="宋体" w:eastAsia="宋体" w:cs="宋体"/>
                <w:bCs/>
                <w:color w:val="auto"/>
                <w:spacing w:val="8"/>
                <w:sz w:val="22"/>
                <w:szCs w:val="22"/>
              </w:rPr>
              <w:t>序号</w:t>
            </w:r>
          </w:p>
        </w:tc>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74C6F4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Cs/>
                <w:color w:val="auto"/>
                <w:spacing w:val="8"/>
                <w:sz w:val="22"/>
                <w:szCs w:val="22"/>
              </w:rPr>
            </w:pPr>
            <w:r>
              <w:rPr>
                <w:rFonts w:hint="eastAsia" w:ascii="宋体" w:hAnsi="宋体" w:eastAsia="宋体" w:cs="宋体"/>
                <w:bCs/>
                <w:color w:val="auto"/>
                <w:spacing w:val="8"/>
                <w:sz w:val="22"/>
                <w:szCs w:val="22"/>
              </w:rPr>
              <w:t>项目</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5A9D14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Cs/>
                <w:color w:val="auto"/>
                <w:spacing w:val="8"/>
                <w:sz w:val="22"/>
                <w:szCs w:val="22"/>
              </w:rPr>
            </w:pPr>
            <w:r>
              <w:rPr>
                <w:rFonts w:hint="eastAsia" w:ascii="宋体" w:hAnsi="宋体" w:eastAsia="宋体" w:cs="宋体"/>
                <w:bCs/>
                <w:color w:val="auto"/>
                <w:spacing w:val="8"/>
                <w:sz w:val="22"/>
                <w:szCs w:val="22"/>
              </w:rPr>
              <w:t>满分</w:t>
            </w:r>
          </w:p>
        </w:tc>
        <w:tc>
          <w:tcPr>
            <w:tcW w:w="5427" w:type="dxa"/>
            <w:tcBorders>
              <w:top w:val="single" w:color="auto" w:sz="4" w:space="0"/>
              <w:left w:val="single" w:color="auto" w:sz="4" w:space="0"/>
              <w:bottom w:val="single" w:color="auto" w:sz="4" w:space="0"/>
              <w:right w:val="single" w:color="auto" w:sz="4" w:space="0"/>
            </w:tcBorders>
            <w:noWrap w:val="0"/>
            <w:vAlign w:val="center"/>
          </w:tcPr>
          <w:p w14:paraId="733072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Cs/>
                <w:color w:val="auto"/>
                <w:spacing w:val="8"/>
                <w:sz w:val="22"/>
                <w:szCs w:val="22"/>
              </w:rPr>
            </w:pPr>
            <w:r>
              <w:rPr>
                <w:rFonts w:hint="eastAsia" w:ascii="宋体" w:hAnsi="宋体" w:eastAsia="宋体" w:cs="宋体"/>
                <w:bCs/>
                <w:color w:val="auto"/>
                <w:spacing w:val="8"/>
                <w:sz w:val="22"/>
                <w:szCs w:val="22"/>
              </w:rPr>
              <w:t>评分标准</w:t>
            </w:r>
          </w:p>
        </w:tc>
      </w:tr>
      <w:tr w14:paraId="6890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11" w:type="dxa"/>
            <w:vMerge w:val="restart"/>
            <w:tcBorders>
              <w:top w:val="single" w:color="auto" w:sz="4" w:space="0"/>
              <w:left w:val="single" w:color="auto" w:sz="4" w:space="0"/>
              <w:right w:val="single" w:color="auto" w:sz="4" w:space="0"/>
            </w:tcBorders>
            <w:noWrap w:val="0"/>
            <w:vAlign w:val="center"/>
          </w:tcPr>
          <w:p w14:paraId="5DA20F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Cs/>
                <w:color w:val="auto"/>
                <w:spacing w:val="8"/>
                <w:sz w:val="22"/>
                <w:szCs w:val="22"/>
                <w:lang w:eastAsia="zh-CN"/>
              </w:rPr>
            </w:pPr>
            <w:r>
              <w:rPr>
                <w:rFonts w:hint="eastAsia" w:ascii="宋体" w:hAnsi="宋体" w:eastAsia="宋体" w:cs="宋体"/>
                <w:bCs/>
                <w:color w:val="auto"/>
                <w:spacing w:val="8"/>
                <w:sz w:val="22"/>
                <w:szCs w:val="22"/>
                <w:lang w:val="en-US" w:eastAsia="zh-CN"/>
              </w:rPr>
              <w:t>1</w:t>
            </w:r>
          </w:p>
          <w:p w14:paraId="6321370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bCs/>
                <w:color w:val="auto"/>
                <w:spacing w:val="8"/>
                <w:sz w:val="22"/>
                <w:szCs w:val="22"/>
              </w:rPr>
            </w:pPr>
          </w:p>
        </w:tc>
        <w:tc>
          <w:tcPr>
            <w:tcW w:w="1183" w:type="dxa"/>
            <w:vMerge w:val="restart"/>
            <w:tcBorders>
              <w:top w:val="single" w:color="auto" w:sz="4" w:space="0"/>
              <w:left w:val="single" w:color="auto" w:sz="4" w:space="0"/>
              <w:right w:val="single" w:color="auto" w:sz="4" w:space="0"/>
            </w:tcBorders>
            <w:noWrap w:val="0"/>
            <w:vAlign w:val="center"/>
          </w:tcPr>
          <w:p w14:paraId="7E3F730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商务部分</w:t>
            </w:r>
          </w:p>
          <w:p w14:paraId="6C6412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eastAsia" w:cs="宋体"/>
                <w:color w:val="auto"/>
                <w:sz w:val="22"/>
                <w:szCs w:val="22"/>
                <w:lang w:val="en-US" w:eastAsia="zh-CN"/>
              </w:rPr>
              <w:t>35</w:t>
            </w:r>
            <w:r>
              <w:rPr>
                <w:rFonts w:hint="eastAsia" w:ascii="宋体" w:hAnsi="宋体" w:eastAsia="宋体" w:cs="宋体"/>
                <w:color w:val="auto"/>
                <w:sz w:val="22"/>
                <w:szCs w:val="22"/>
                <w:lang w:val="en-US" w:eastAsia="zh-CN"/>
              </w:rPr>
              <w:t>分）</w:t>
            </w:r>
          </w:p>
        </w:tc>
        <w:tc>
          <w:tcPr>
            <w:tcW w:w="1201" w:type="dxa"/>
            <w:tcBorders>
              <w:top w:val="single" w:color="auto" w:sz="4" w:space="0"/>
              <w:left w:val="single" w:color="auto" w:sz="4" w:space="0"/>
              <w:right w:val="single" w:color="auto" w:sz="4" w:space="0"/>
            </w:tcBorders>
            <w:noWrap w:val="0"/>
            <w:vAlign w:val="center"/>
          </w:tcPr>
          <w:p w14:paraId="1FD6B4E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供应商业绩</w:t>
            </w:r>
          </w:p>
        </w:tc>
        <w:tc>
          <w:tcPr>
            <w:tcW w:w="757" w:type="dxa"/>
            <w:tcBorders>
              <w:top w:val="single" w:color="auto" w:sz="4" w:space="0"/>
              <w:left w:val="single" w:color="auto" w:sz="4" w:space="0"/>
              <w:right w:val="single" w:color="auto" w:sz="4" w:space="0"/>
            </w:tcBorders>
            <w:noWrap w:val="0"/>
            <w:vAlign w:val="center"/>
          </w:tcPr>
          <w:p w14:paraId="5D3F948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2"/>
                <w:szCs w:val="22"/>
                <w:lang w:val="en-US" w:eastAsia="zh-CN"/>
              </w:rPr>
            </w:pPr>
            <w:r>
              <w:rPr>
                <w:rFonts w:hint="eastAsia" w:cs="宋体"/>
                <w:color w:val="auto"/>
                <w:sz w:val="22"/>
                <w:szCs w:val="22"/>
                <w:lang w:val="en-US" w:eastAsia="zh-CN"/>
              </w:rPr>
              <w:t>20</w:t>
            </w:r>
            <w:r>
              <w:rPr>
                <w:rFonts w:hint="eastAsia" w:ascii="宋体" w:hAnsi="宋体" w:eastAsia="宋体" w:cs="宋体"/>
                <w:color w:val="auto"/>
                <w:sz w:val="22"/>
                <w:szCs w:val="22"/>
                <w:lang w:val="en-US" w:eastAsia="zh-CN"/>
              </w:rPr>
              <w:t>分</w:t>
            </w:r>
          </w:p>
        </w:tc>
        <w:tc>
          <w:tcPr>
            <w:tcW w:w="5427" w:type="dxa"/>
            <w:tcBorders>
              <w:top w:val="single" w:color="auto" w:sz="4" w:space="0"/>
              <w:left w:val="single" w:color="auto" w:sz="4" w:space="0"/>
              <w:right w:val="single" w:color="auto" w:sz="4" w:space="0"/>
            </w:tcBorders>
            <w:noWrap w:val="0"/>
            <w:vAlign w:val="center"/>
          </w:tcPr>
          <w:p w14:paraId="35CD85E6">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供应商提供近三年（2022年7月至今）</w:t>
            </w:r>
            <w:r>
              <w:rPr>
                <w:rFonts w:hint="eastAsia" w:cs="宋体"/>
                <w:color w:val="auto"/>
                <w:sz w:val="22"/>
                <w:szCs w:val="22"/>
                <w:lang w:val="en-US" w:eastAsia="zh-CN"/>
              </w:rPr>
              <w:t>完成</w:t>
            </w:r>
            <w:r>
              <w:rPr>
                <w:rFonts w:hint="eastAsia" w:ascii="宋体" w:hAnsi="宋体" w:eastAsia="宋体" w:cs="宋体"/>
                <w:color w:val="auto"/>
                <w:sz w:val="22"/>
                <w:szCs w:val="22"/>
                <w:lang w:val="en-US" w:eastAsia="zh-CN"/>
              </w:rPr>
              <w:t>的同类型项目案例，要求提供合同首页、合同金额所在页、签字盖章页</w:t>
            </w:r>
            <w:r>
              <w:rPr>
                <w:rFonts w:hint="eastAsia" w:cs="宋体"/>
                <w:color w:val="auto"/>
                <w:sz w:val="22"/>
                <w:szCs w:val="22"/>
                <w:lang w:val="en-US" w:eastAsia="zh-CN"/>
              </w:rPr>
              <w:t>、验收报告</w:t>
            </w:r>
            <w:r>
              <w:rPr>
                <w:rFonts w:hint="eastAsia" w:ascii="宋体" w:hAnsi="宋体" w:eastAsia="宋体" w:cs="宋体"/>
                <w:color w:val="auto"/>
                <w:sz w:val="22"/>
                <w:szCs w:val="22"/>
                <w:lang w:val="en-US" w:eastAsia="zh-CN"/>
              </w:rPr>
              <w:t>作为证明。</w:t>
            </w:r>
          </w:p>
          <w:p w14:paraId="3D040686">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按照以上要求每提供一个案例得</w:t>
            </w:r>
            <w:r>
              <w:rPr>
                <w:rFonts w:hint="eastAsia" w:cs="宋体"/>
                <w:color w:val="auto"/>
                <w:sz w:val="22"/>
                <w:szCs w:val="22"/>
                <w:lang w:val="en-US" w:eastAsia="zh-CN"/>
              </w:rPr>
              <w:t>4</w:t>
            </w:r>
            <w:r>
              <w:rPr>
                <w:rFonts w:hint="eastAsia" w:ascii="宋体" w:hAnsi="宋体" w:eastAsia="宋体" w:cs="宋体"/>
                <w:color w:val="auto"/>
                <w:sz w:val="22"/>
                <w:szCs w:val="22"/>
                <w:lang w:val="en-US" w:eastAsia="zh-CN"/>
              </w:rPr>
              <w:t>分，不提供得0分，本项最多得</w:t>
            </w:r>
            <w:r>
              <w:rPr>
                <w:rFonts w:hint="eastAsia" w:cs="宋体"/>
                <w:color w:val="auto"/>
                <w:sz w:val="22"/>
                <w:szCs w:val="22"/>
                <w:lang w:val="en-US" w:eastAsia="zh-CN"/>
              </w:rPr>
              <w:t>20</w:t>
            </w:r>
            <w:r>
              <w:rPr>
                <w:rFonts w:hint="eastAsia" w:ascii="宋体" w:hAnsi="宋体" w:eastAsia="宋体" w:cs="宋体"/>
                <w:color w:val="auto"/>
                <w:sz w:val="22"/>
                <w:szCs w:val="22"/>
                <w:lang w:val="en-US" w:eastAsia="zh-CN"/>
              </w:rPr>
              <w:t>分。</w:t>
            </w:r>
          </w:p>
          <w:p w14:paraId="0E9DCCD4">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同类型业绩指：档案管理类业绩</w:t>
            </w:r>
          </w:p>
        </w:tc>
      </w:tr>
      <w:tr w14:paraId="4DB7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711" w:type="dxa"/>
            <w:vMerge w:val="continue"/>
            <w:tcBorders>
              <w:left w:val="single" w:color="auto" w:sz="4" w:space="0"/>
              <w:right w:val="single" w:color="auto" w:sz="4" w:space="0"/>
            </w:tcBorders>
            <w:noWrap w:val="0"/>
            <w:vAlign w:val="center"/>
          </w:tcPr>
          <w:p w14:paraId="1C64464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bCs/>
                <w:color w:val="auto"/>
                <w:spacing w:val="8"/>
                <w:sz w:val="22"/>
                <w:szCs w:val="22"/>
              </w:rPr>
            </w:pPr>
          </w:p>
        </w:tc>
        <w:tc>
          <w:tcPr>
            <w:tcW w:w="1183" w:type="dxa"/>
            <w:vMerge w:val="continue"/>
            <w:tcBorders>
              <w:left w:val="single" w:color="auto" w:sz="4" w:space="0"/>
              <w:right w:val="single" w:color="auto" w:sz="4" w:space="0"/>
            </w:tcBorders>
            <w:noWrap w:val="0"/>
            <w:vAlign w:val="center"/>
          </w:tcPr>
          <w:p w14:paraId="30F9B81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2"/>
                <w:szCs w:val="22"/>
                <w:lang w:val="en-US" w:eastAsia="zh-CN"/>
              </w:rPr>
            </w:pPr>
          </w:p>
        </w:tc>
        <w:tc>
          <w:tcPr>
            <w:tcW w:w="1201" w:type="dxa"/>
            <w:vMerge w:val="restart"/>
            <w:tcBorders>
              <w:top w:val="single" w:color="auto" w:sz="4" w:space="0"/>
              <w:left w:val="single" w:color="auto" w:sz="4" w:space="0"/>
              <w:right w:val="single" w:color="auto" w:sz="4" w:space="0"/>
            </w:tcBorders>
            <w:noWrap w:val="0"/>
            <w:vAlign w:val="center"/>
          </w:tcPr>
          <w:p w14:paraId="23EA424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项目人员配备</w:t>
            </w:r>
          </w:p>
        </w:tc>
        <w:tc>
          <w:tcPr>
            <w:tcW w:w="757" w:type="dxa"/>
            <w:vMerge w:val="restart"/>
            <w:tcBorders>
              <w:top w:val="single" w:color="auto" w:sz="4" w:space="0"/>
              <w:left w:val="single" w:color="auto" w:sz="4" w:space="0"/>
              <w:right w:val="single" w:color="auto" w:sz="4" w:space="0"/>
            </w:tcBorders>
            <w:noWrap w:val="0"/>
            <w:vAlign w:val="center"/>
          </w:tcPr>
          <w:p w14:paraId="07186CA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宋体"/>
                <w:color w:val="auto"/>
                <w:sz w:val="22"/>
                <w:szCs w:val="22"/>
                <w:lang w:val="en-US" w:eastAsia="zh-CN"/>
              </w:rPr>
            </w:pPr>
            <w:r>
              <w:rPr>
                <w:rFonts w:hint="eastAsia" w:cs="宋体"/>
                <w:color w:val="auto"/>
                <w:sz w:val="22"/>
                <w:szCs w:val="22"/>
                <w:lang w:val="en-US" w:eastAsia="zh-CN"/>
              </w:rPr>
              <w:t>15分</w:t>
            </w:r>
          </w:p>
        </w:tc>
        <w:tc>
          <w:tcPr>
            <w:tcW w:w="5427" w:type="dxa"/>
            <w:tcBorders>
              <w:top w:val="single" w:color="auto" w:sz="4" w:space="0"/>
              <w:left w:val="single" w:color="auto" w:sz="4" w:space="0"/>
              <w:right w:val="single" w:color="auto" w:sz="4" w:space="0"/>
            </w:tcBorders>
            <w:noWrap w:val="0"/>
            <w:vAlign w:val="center"/>
          </w:tcPr>
          <w:p w14:paraId="688F23B7">
            <w:pPr>
              <w:keepNext w:val="0"/>
              <w:keepLines w:val="0"/>
              <w:widowControl/>
              <w:numPr>
                <w:ilvl w:val="0"/>
                <w:numId w:val="0"/>
              </w:numPr>
              <w:suppressLineNumbers w:val="0"/>
              <w:ind w:leftChars="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供应商拟派的项目负责人具备</w:t>
            </w:r>
            <w:r>
              <w:rPr>
                <w:rFonts w:hint="eastAsia"/>
                <w:color w:val="auto"/>
                <w:sz w:val="22"/>
                <w:szCs w:val="22"/>
                <w:highlight w:val="none"/>
              </w:rPr>
              <w:t>档案</w:t>
            </w:r>
            <w:r>
              <w:rPr>
                <w:rFonts w:hint="eastAsia" w:ascii="宋体" w:hAnsi="宋体" w:eastAsia="宋体" w:cs="宋体"/>
                <w:color w:val="auto"/>
                <w:kern w:val="0"/>
                <w:sz w:val="22"/>
                <w:szCs w:val="22"/>
                <w:highlight w:val="none"/>
                <w:lang w:val="en-US" w:eastAsia="zh-CN" w:bidi="ar"/>
              </w:rPr>
              <w:t>相关专业高级或以上技术职称的，得5分；具备档案相关专业中级技术职称的，得</w:t>
            </w:r>
            <w:r>
              <w:rPr>
                <w:rFonts w:hint="default"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分。</w:t>
            </w:r>
          </w:p>
          <w:p w14:paraId="0CF16C50">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sz w:val="22"/>
                <w:szCs w:val="22"/>
                <w:lang w:val="en-US" w:eastAsia="zh-CN"/>
              </w:rPr>
            </w:pPr>
            <w:r>
              <w:rPr>
                <w:rFonts w:hint="eastAsia" w:ascii="宋体" w:hAnsi="宋体" w:eastAsia="宋体" w:cs="宋体"/>
                <w:color w:val="auto"/>
                <w:kern w:val="0"/>
                <w:sz w:val="22"/>
                <w:szCs w:val="22"/>
                <w:highlight w:val="none"/>
                <w:lang w:val="en-US" w:eastAsia="zh-CN" w:bidi="ar"/>
              </w:rPr>
              <w:t>注：必须为供应商在职的员工，须提交相应证件或证明资料复印件及近三个月</w:t>
            </w:r>
            <w:r>
              <w:rPr>
                <w:rFonts w:hint="eastAsia" w:ascii="宋体" w:hAnsi="宋体" w:eastAsia="宋体" w:cs="宋体"/>
                <w:color w:val="auto"/>
                <w:kern w:val="0"/>
                <w:sz w:val="22"/>
                <w:szCs w:val="22"/>
                <w:highlight w:val="none"/>
                <w:lang w:val="en-US" w:eastAsia="zh-Hans" w:bidi="ar"/>
              </w:rPr>
              <w:t>内任意一个月的社保证明复印件</w:t>
            </w:r>
            <w:r>
              <w:rPr>
                <w:rFonts w:hint="eastAsia" w:ascii="宋体" w:hAnsi="宋体" w:eastAsia="宋体" w:cs="宋体"/>
                <w:color w:val="auto"/>
                <w:kern w:val="0"/>
                <w:sz w:val="22"/>
                <w:szCs w:val="22"/>
                <w:highlight w:val="none"/>
                <w:lang w:val="en-US" w:eastAsia="zh-CN" w:bidi="ar"/>
              </w:rPr>
              <w:t>。如已达到退</w:t>
            </w:r>
            <w:r>
              <w:rPr>
                <w:rFonts w:hint="eastAsia" w:cs="宋体"/>
                <w:color w:val="auto"/>
                <w:kern w:val="0"/>
                <w:sz w:val="22"/>
                <w:szCs w:val="22"/>
                <w:highlight w:val="none"/>
                <w:lang w:val="en-US" w:eastAsia="zh-CN" w:bidi="ar"/>
              </w:rPr>
              <w:t>休</w:t>
            </w:r>
            <w:r>
              <w:rPr>
                <w:rFonts w:hint="eastAsia" w:ascii="宋体" w:hAnsi="宋体" w:eastAsia="宋体" w:cs="宋体"/>
                <w:color w:val="auto"/>
                <w:kern w:val="0"/>
                <w:sz w:val="22"/>
                <w:szCs w:val="22"/>
                <w:highlight w:val="none"/>
                <w:lang w:val="en-US" w:eastAsia="zh-CN" w:bidi="ar"/>
              </w:rPr>
              <w:t>年龄且不超过65周岁的，则可提供养老保险待遇领取情况资料或退</w:t>
            </w:r>
            <w:r>
              <w:rPr>
                <w:rFonts w:hint="eastAsia" w:cs="宋体"/>
                <w:color w:val="auto"/>
                <w:kern w:val="0"/>
                <w:sz w:val="22"/>
                <w:szCs w:val="22"/>
                <w:highlight w:val="none"/>
                <w:lang w:val="en-US" w:eastAsia="zh-CN" w:bidi="ar"/>
              </w:rPr>
              <w:t>休</w:t>
            </w:r>
            <w:r>
              <w:rPr>
                <w:rFonts w:hint="eastAsia" w:ascii="宋体" w:hAnsi="宋体" w:eastAsia="宋体" w:cs="宋体"/>
                <w:color w:val="auto"/>
                <w:kern w:val="0"/>
                <w:sz w:val="22"/>
                <w:szCs w:val="22"/>
                <w:highlight w:val="none"/>
                <w:lang w:val="en-US" w:eastAsia="zh-CN" w:bidi="ar"/>
              </w:rPr>
              <w:t>证替代。</w:t>
            </w:r>
          </w:p>
        </w:tc>
      </w:tr>
      <w:tr w14:paraId="16E0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11" w:type="dxa"/>
            <w:vMerge w:val="continue"/>
            <w:tcBorders>
              <w:left w:val="single" w:color="auto" w:sz="4" w:space="0"/>
              <w:right w:val="single" w:color="auto" w:sz="4" w:space="0"/>
            </w:tcBorders>
            <w:noWrap w:val="0"/>
            <w:vAlign w:val="center"/>
          </w:tcPr>
          <w:p w14:paraId="5B738A1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bCs/>
                <w:color w:val="auto"/>
                <w:spacing w:val="8"/>
                <w:sz w:val="22"/>
                <w:szCs w:val="22"/>
              </w:rPr>
            </w:pPr>
          </w:p>
        </w:tc>
        <w:tc>
          <w:tcPr>
            <w:tcW w:w="1183" w:type="dxa"/>
            <w:vMerge w:val="continue"/>
            <w:tcBorders>
              <w:left w:val="single" w:color="auto" w:sz="4" w:space="0"/>
              <w:right w:val="single" w:color="auto" w:sz="4" w:space="0"/>
            </w:tcBorders>
            <w:noWrap w:val="0"/>
            <w:vAlign w:val="center"/>
          </w:tcPr>
          <w:p w14:paraId="2DE43FE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2"/>
                <w:szCs w:val="22"/>
                <w:lang w:val="en-US" w:eastAsia="zh-CN"/>
              </w:rPr>
            </w:pPr>
          </w:p>
        </w:tc>
        <w:tc>
          <w:tcPr>
            <w:tcW w:w="1201" w:type="dxa"/>
            <w:vMerge w:val="continue"/>
            <w:tcBorders>
              <w:left w:val="single" w:color="auto" w:sz="4" w:space="0"/>
              <w:right w:val="single" w:color="auto" w:sz="4" w:space="0"/>
            </w:tcBorders>
            <w:noWrap w:val="0"/>
            <w:vAlign w:val="center"/>
          </w:tcPr>
          <w:p w14:paraId="233F5B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2"/>
                <w:szCs w:val="22"/>
                <w:lang w:val="en-US" w:eastAsia="zh-CN"/>
              </w:rPr>
            </w:pPr>
          </w:p>
        </w:tc>
        <w:tc>
          <w:tcPr>
            <w:tcW w:w="757" w:type="dxa"/>
            <w:vMerge w:val="continue"/>
            <w:tcBorders>
              <w:left w:val="single" w:color="auto" w:sz="4" w:space="0"/>
              <w:right w:val="single" w:color="auto" w:sz="4" w:space="0"/>
            </w:tcBorders>
            <w:noWrap w:val="0"/>
            <w:vAlign w:val="center"/>
          </w:tcPr>
          <w:p w14:paraId="692C21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宋体"/>
                <w:color w:val="auto"/>
                <w:sz w:val="22"/>
                <w:szCs w:val="22"/>
                <w:lang w:val="en-US" w:eastAsia="zh-CN"/>
              </w:rPr>
            </w:pPr>
          </w:p>
        </w:tc>
        <w:tc>
          <w:tcPr>
            <w:tcW w:w="5427" w:type="dxa"/>
            <w:tcBorders>
              <w:top w:val="single" w:color="auto" w:sz="4" w:space="0"/>
              <w:left w:val="single" w:color="auto" w:sz="4" w:space="0"/>
              <w:right w:val="single" w:color="auto" w:sz="4" w:space="0"/>
            </w:tcBorders>
            <w:noWrap w:val="0"/>
            <w:vAlign w:val="center"/>
          </w:tcPr>
          <w:p w14:paraId="3DC732BC">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除拟派项目负责人外的其他项目人员：</w:t>
            </w:r>
          </w:p>
          <w:p w14:paraId="5A7187E2">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（1）拟派其他项目人员中具有</w:t>
            </w:r>
            <w:r>
              <w:rPr>
                <w:rFonts w:hint="eastAsia"/>
                <w:color w:val="auto"/>
                <w:sz w:val="22"/>
                <w:szCs w:val="22"/>
                <w:highlight w:val="none"/>
              </w:rPr>
              <w:t>档案</w:t>
            </w:r>
            <w:r>
              <w:rPr>
                <w:rFonts w:hint="eastAsia" w:ascii="宋体" w:hAnsi="宋体" w:eastAsia="宋体" w:cs="宋体"/>
                <w:color w:val="auto"/>
                <w:kern w:val="0"/>
                <w:sz w:val="22"/>
                <w:szCs w:val="22"/>
                <w:highlight w:val="none"/>
                <w:lang w:val="en-US" w:eastAsia="zh-CN" w:bidi="ar"/>
              </w:rPr>
              <w:t>相关专业中级或以上技术职称的，每人得4分，本小项最高得8分。</w:t>
            </w:r>
          </w:p>
          <w:p w14:paraId="1D4676E1">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（2）拟派其他项目人员中具备档案相关专业</w:t>
            </w:r>
            <w:r>
              <w:rPr>
                <w:rFonts w:hint="eastAsia" w:cs="宋体"/>
                <w:color w:val="auto"/>
                <w:kern w:val="0"/>
                <w:sz w:val="22"/>
                <w:szCs w:val="22"/>
                <w:highlight w:val="none"/>
                <w:lang w:val="en-US" w:eastAsia="zh-CN" w:bidi="ar"/>
              </w:rPr>
              <w:t>初级（助理级）</w:t>
            </w:r>
            <w:r>
              <w:rPr>
                <w:rFonts w:hint="eastAsia" w:ascii="宋体" w:hAnsi="宋体" w:eastAsia="宋体" w:cs="宋体"/>
                <w:color w:val="auto"/>
                <w:kern w:val="0"/>
                <w:sz w:val="22"/>
                <w:szCs w:val="22"/>
                <w:highlight w:val="none"/>
                <w:lang w:val="en-US" w:eastAsia="zh-CN" w:bidi="ar"/>
              </w:rPr>
              <w:t>技术职称的，每人得</w:t>
            </w:r>
            <w:r>
              <w:rPr>
                <w:rFonts w:hint="default"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分，本小项最高得4分。</w:t>
            </w:r>
          </w:p>
          <w:p w14:paraId="4D7DD4AD">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本项最高得10分。</w:t>
            </w:r>
          </w:p>
          <w:p w14:paraId="1DA917EC">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注：1.上述人员（包括拟派项目</w:t>
            </w:r>
            <w:r>
              <w:rPr>
                <w:rFonts w:hint="eastAsia" w:cs="宋体"/>
                <w:color w:val="auto"/>
                <w:kern w:val="0"/>
                <w:sz w:val="22"/>
                <w:szCs w:val="22"/>
                <w:highlight w:val="none"/>
                <w:lang w:val="en-US" w:eastAsia="zh-CN" w:bidi="ar"/>
              </w:rPr>
              <w:t>负责人</w:t>
            </w:r>
            <w:r>
              <w:rPr>
                <w:rFonts w:hint="eastAsia" w:ascii="宋体" w:hAnsi="宋体" w:eastAsia="宋体" w:cs="宋体"/>
                <w:color w:val="auto"/>
                <w:kern w:val="0"/>
                <w:sz w:val="22"/>
                <w:szCs w:val="22"/>
                <w:highlight w:val="none"/>
                <w:lang w:val="en-US" w:eastAsia="zh-CN" w:bidi="ar"/>
              </w:rPr>
              <w:t>）不得互相兼任。2.必须为供应商在职的员工，须提交相应证件或证明资料复印件和近三个月内任意一个月的社保证明复印件。如已达到退休年龄且不超过65周岁的，则可提供养老保险待遇领取情况资料或退休证替代。</w:t>
            </w:r>
          </w:p>
        </w:tc>
      </w:tr>
      <w:tr w14:paraId="5642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11" w:type="dxa"/>
            <w:vMerge w:val="restart"/>
            <w:tcBorders>
              <w:left w:val="single" w:color="auto" w:sz="4" w:space="0"/>
              <w:right w:val="single" w:color="auto" w:sz="4" w:space="0"/>
            </w:tcBorders>
            <w:noWrap w:val="0"/>
            <w:vAlign w:val="center"/>
          </w:tcPr>
          <w:p w14:paraId="493830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bCs/>
                <w:color w:val="auto"/>
                <w:spacing w:val="8"/>
                <w:sz w:val="22"/>
                <w:szCs w:val="22"/>
                <w:lang w:val="en-US" w:eastAsia="zh-CN"/>
              </w:rPr>
            </w:pPr>
            <w:r>
              <w:rPr>
                <w:rFonts w:hint="eastAsia" w:cs="宋体"/>
                <w:bCs/>
                <w:color w:val="auto"/>
                <w:spacing w:val="8"/>
                <w:sz w:val="22"/>
                <w:szCs w:val="22"/>
                <w:lang w:val="en-US" w:eastAsia="zh-CN"/>
              </w:rPr>
              <w:t>2</w:t>
            </w:r>
          </w:p>
        </w:tc>
        <w:tc>
          <w:tcPr>
            <w:tcW w:w="1183" w:type="dxa"/>
            <w:vMerge w:val="restart"/>
            <w:tcBorders>
              <w:left w:val="single" w:color="auto" w:sz="4" w:space="0"/>
              <w:right w:val="single" w:color="auto" w:sz="4" w:space="0"/>
            </w:tcBorders>
            <w:noWrap w:val="0"/>
            <w:vAlign w:val="center"/>
          </w:tcPr>
          <w:p w14:paraId="7FB5D9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cs="宋体"/>
                <w:color w:val="auto"/>
                <w:sz w:val="22"/>
                <w:szCs w:val="22"/>
                <w:lang w:val="en-US" w:eastAsia="zh-CN"/>
              </w:rPr>
            </w:pPr>
            <w:r>
              <w:rPr>
                <w:rFonts w:hint="eastAsia" w:cs="宋体"/>
                <w:color w:val="auto"/>
                <w:sz w:val="22"/>
                <w:szCs w:val="22"/>
                <w:lang w:val="en-US" w:eastAsia="zh-CN"/>
              </w:rPr>
              <w:t>技术部分</w:t>
            </w:r>
          </w:p>
          <w:p w14:paraId="161BA5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cs="宋体"/>
                <w:color w:val="auto"/>
                <w:sz w:val="22"/>
                <w:szCs w:val="22"/>
                <w:lang w:val="en-US" w:eastAsia="zh-CN"/>
              </w:rPr>
            </w:pPr>
            <w:r>
              <w:rPr>
                <w:rFonts w:hint="eastAsia" w:cs="宋体"/>
                <w:color w:val="auto"/>
                <w:sz w:val="22"/>
                <w:szCs w:val="22"/>
                <w:lang w:val="en-US" w:eastAsia="zh-CN"/>
              </w:rPr>
              <w:t>（50分）</w:t>
            </w:r>
          </w:p>
        </w:tc>
        <w:tc>
          <w:tcPr>
            <w:tcW w:w="1201" w:type="dxa"/>
            <w:tcBorders>
              <w:top w:val="single" w:color="auto" w:sz="4" w:space="0"/>
              <w:left w:val="single" w:color="auto" w:sz="4" w:space="0"/>
              <w:right w:val="single" w:color="auto" w:sz="4" w:space="0"/>
            </w:tcBorders>
            <w:noWrap w:val="0"/>
            <w:vAlign w:val="center"/>
          </w:tcPr>
          <w:p w14:paraId="217E11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整理方案</w:t>
            </w:r>
          </w:p>
        </w:tc>
        <w:tc>
          <w:tcPr>
            <w:tcW w:w="757" w:type="dxa"/>
            <w:tcBorders>
              <w:top w:val="single" w:color="auto" w:sz="4" w:space="0"/>
              <w:left w:val="single" w:color="auto" w:sz="4" w:space="0"/>
              <w:right w:val="single" w:color="auto" w:sz="4" w:space="0"/>
            </w:tcBorders>
            <w:noWrap w:val="0"/>
            <w:vAlign w:val="center"/>
          </w:tcPr>
          <w:p w14:paraId="175F1D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2"/>
                <w:szCs w:val="22"/>
                <w:lang w:val="en-US" w:eastAsia="zh-CN"/>
              </w:rPr>
            </w:pPr>
            <w:r>
              <w:rPr>
                <w:rFonts w:hint="eastAsia" w:cs="宋体"/>
                <w:color w:val="auto"/>
                <w:sz w:val="22"/>
                <w:szCs w:val="22"/>
                <w:lang w:val="en-US" w:eastAsia="zh-CN"/>
              </w:rPr>
              <w:t>20</w:t>
            </w:r>
            <w:r>
              <w:rPr>
                <w:rFonts w:hint="eastAsia" w:ascii="宋体" w:hAnsi="宋体" w:eastAsia="宋体" w:cs="宋体"/>
                <w:color w:val="auto"/>
                <w:sz w:val="22"/>
                <w:szCs w:val="22"/>
                <w:lang w:val="en-US" w:eastAsia="zh-CN"/>
              </w:rPr>
              <w:t>分</w:t>
            </w:r>
          </w:p>
        </w:tc>
        <w:tc>
          <w:tcPr>
            <w:tcW w:w="5427" w:type="dxa"/>
            <w:tcBorders>
              <w:top w:val="single" w:color="auto" w:sz="4" w:space="0"/>
              <w:left w:val="single" w:color="auto" w:sz="4" w:space="0"/>
              <w:bottom w:val="single" w:color="auto" w:sz="4" w:space="0"/>
              <w:right w:val="single" w:color="auto" w:sz="4" w:space="0"/>
            </w:tcBorders>
            <w:noWrap w:val="0"/>
            <w:vAlign w:val="center"/>
          </w:tcPr>
          <w:p w14:paraId="785F58A2">
            <w:pPr>
              <w:keepNext w:val="0"/>
              <w:keepLines w:val="0"/>
              <w:pageBreakBefore w:val="0"/>
              <w:widowControl/>
              <w:numPr>
                <w:ilvl w:val="0"/>
                <w:numId w:val="0"/>
              </w:numPr>
              <w:tabs>
                <w:tab w:val="left" w:pos="1191"/>
              </w:tabs>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磋商小组针对供应商提供的的整理方案进行综合打分。方案应包含但不限于：整理方法、制度流程、执行标准、整理质量、装订标准等。</w:t>
            </w:r>
          </w:p>
          <w:p w14:paraId="69FC5E46">
            <w:pPr>
              <w:keepNext w:val="0"/>
              <w:keepLines w:val="0"/>
              <w:pageBreakBefore w:val="0"/>
              <w:widowControl/>
              <w:numPr>
                <w:ilvl w:val="0"/>
                <w:numId w:val="0"/>
              </w:numPr>
              <w:tabs>
                <w:tab w:val="left" w:pos="1191"/>
              </w:tabs>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（1）整理方案科学先进、整理制度全面完整、严格按照标准执行、装订标准详细得</w:t>
            </w:r>
            <w:r>
              <w:rPr>
                <w:rFonts w:hint="eastAsia" w:cs="宋体"/>
                <w:color w:val="auto"/>
                <w:kern w:val="0"/>
                <w:sz w:val="22"/>
                <w:szCs w:val="22"/>
                <w:lang w:val="en-US" w:eastAsia="zh-CN" w:bidi="ar"/>
              </w:rPr>
              <w:t>20</w:t>
            </w:r>
            <w:r>
              <w:rPr>
                <w:rFonts w:hint="eastAsia" w:ascii="宋体" w:hAnsi="宋体" w:eastAsia="宋体" w:cs="宋体"/>
                <w:color w:val="auto"/>
                <w:kern w:val="0"/>
                <w:sz w:val="22"/>
                <w:szCs w:val="22"/>
                <w:lang w:val="en-US" w:eastAsia="zh-CN" w:bidi="ar"/>
              </w:rPr>
              <w:t>分；</w:t>
            </w:r>
          </w:p>
          <w:p w14:paraId="2CF3D67F">
            <w:pPr>
              <w:keepNext w:val="0"/>
              <w:keepLines w:val="0"/>
              <w:pageBreakBefore w:val="0"/>
              <w:widowControl/>
              <w:numPr>
                <w:ilvl w:val="0"/>
                <w:numId w:val="0"/>
              </w:numPr>
              <w:tabs>
                <w:tab w:val="left" w:pos="1191"/>
              </w:tabs>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（2）整理方案完整可行、具有整理制度及流程、装订标准贴合得</w:t>
            </w:r>
            <w:r>
              <w:rPr>
                <w:rFonts w:hint="eastAsia" w:cs="宋体"/>
                <w:color w:val="auto"/>
                <w:kern w:val="0"/>
                <w:sz w:val="22"/>
                <w:szCs w:val="22"/>
                <w:lang w:val="en-US" w:eastAsia="zh-CN" w:bidi="ar"/>
              </w:rPr>
              <w:t>14</w:t>
            </w:r>
            <w:r>
              <w:rPr>
                <w:rFonts w:hint="eastAsia" w:ascii="宋体" w:hAnsi="宋体" w:eastAsia="宋体" w:cs="宋体"/>
                <w:color w:val="auto"/>
                <w:kern w:val="0"/>
                <w:sz w:val="22"/>
                <w:szCs w:val="22"/>
                <w:lang w:val="en-US" w:eastAsia="zh-CN" w:bidi="ar"/>
              </w:rPr>
              <w:t>分；</w:t>
            </w:r>
          </w:p>
          <w:p w14:paraId="474FD974">
            <w:pPr>
              <w:keepNext w:val="0"/>
              <w:keepLines w:val="0"/>
              <w:pageBreakBefore w:val="0"/>
              <w:widowControl/>
              <w:numPr>
                <w:ilvl w:val="0"/>
                <w:numId w:val="0"/>
              </w:numPr>
              <w:tabs>
                <w:tab w:val="left" w:pos="1191"/>
              </w:tabs>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（3）整理方案不合理、制度缺失、执行标准不到位得</w:t>
            </w:r>
            <w:r>
              <w:rPr>
                <w:rFonts w:hint="eastAsia" w:cs="宋体"/>
                <w:color w:val="auto"/>
                <w:kern w:val="0"/>
                <w:sz w:val="22"/>
                <w:szCs w:val="22"/>
                <w:lang w:val="en-US" w:eastAsia="zh-CN" w:bidi="ar"/>
              </w:rPr>
              <w:t>10</w:t>
            </w:r>
            <w:r>
              <w:rPr>
                <w:rFonts w:hint="eastAsia" w:ascii="宋体" w:hAnsi="宋体" w:eastAsia="宋体" w:cs="宋体"/>
                <w:color w:val="auto"/>
                <w:kern w:val="0"/>
                <w:sz w:val="22"/>
                <w:szCs w:val="22"/>
                <w:lang w:val="en-US" w:eastAsia="zh-CN" w:bidi="ar"/>
              </w:rPr>
              <w:t>分；</w:t>
            </w:r>
          </w:p>
          <w:p w14:paraId="14CA6BFF">
            <w:pPr>
              <w:keepNext w:val="0"/>
              <w:keepLines w:val="0"/>
              <w:pageBreakBefore w:val="0"/>
              <w:widowControl/>
              <w:numPr>
                <w:ilvl w:val="0"/>
                <w:numId w:val="0"/>
              </w:numPr>
              <w:tabs>
                <w:tab w:val="left" w:pos="1191"/>
              </w:tabs>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（4）不提供不得分。</w:t>
            </w:r>
          </w:p>
        </w:tc>
      </w:tr>
      <w:tr w14:paraId="4015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11" w:type="dxa"/>
            <w:vMerge w:val="continue"/>
            <w:tcBorders>
              <w:left w:val="single" w:color="auto" w:sz="4" w:space="0"/>
              <w:right w:val="single" w:color="auto" w:sz="4" w:space="0"/>
            </w:tcBorders>
            <w:noWrap w:val="0"/>
            <w:vAlign w:val="center"/>
          </w:tcPr>
          <w:p w14:paraId="007208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Cs/>
                <w:color w:val="auto"/>
                <w:spacing w:val="8"/>
                <w:sz w:val="22"/>
                <w:szCs w:val="22"/>
                <w:lang w:val="en-US" w:eastAsia="zh-CN"/>
              </w:rPr>
            </w:pPr>
          </w:p>
        </w:tc>
        <w:tc>
          <w:tcPr>
            <w:tcW w:w="1183" w:type="dxa"/>
            <w:vMerge w:val="continue"/>
            <w:tcBorders>
              <w:left w:val="single" w:color="auto" w:sz="4" w:space="0"/>
              <w:right w:val="single" w:color="auto" w:sz="4" w:space="0"/>
            </w:tcBorders>
            <w:noWrap w:val="0"/>
            <w:vAlign w:val="center"/>
          </w:tcPr>
          <w:p w14:paraId="06390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2"/>
                <w:szCs w:val="22"/>
                <w:lang w:val="en-US" w:eastAsia="zh-CN"/>
              </w:rPr>
            </w:pPr>
          </w:p>
        </w:tc>
        <w:tc>
          <w:tcPr>
            <w:tcW w:w="1201" w:type="dxa"/>
            <w:tcBorders>
              <w:top w:val="single" w:color="auto" w:sz="4" w:space="0"/>
              <w:left w:val="single" w:color="auto" w:sz="4" w:space="0"/>
              <w:right w:val="single" w:color="auto" w:sz="4" w:space="0"/>
            </w:tcBorders>
            <w:noWrap w:val="0"/>
            <w:vAlign w:val="center"/>
          </w:tcPr>
          <w:p w14:paraId="16BBAA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2"/>
                <w:szCs w:val="22"/>
                <w:lang w:val="en-US" w:eastAsia="zh-CN"/>
              </w:rPr>
            </w:pPr>
            <w:r>
              <w:rPr>
                <w:rFonts w:hint="eastAsia" w:cs="宋体"/>
                <w:color w:val="auto"/>
                <w:sz w:val="22"/>
                <w:szCs w:val="22"/>
                <w:lang w:val="en-US" w:eastAsia="zh-CN"/>
              </w:rPr>
              <w:t>服务计划</w:t>
            </w:r>
          </w:p>
        </w:tc>
        <w:tc>
          <w:tcPr>
            <w:tcW w:w="757" w:type="dxa"/>
            <w:tcBorders>
              <w:top w:val="single" w:color="auto" w:sz="4" w:space="0"/>
              <w:left w:val="single" w:color="auto" w:sz="4" w:space="0"/>
              <w:right w:val="single" w:color="auto" w:sz="4" w:space="0"/>
            </w:tcBorders>
            <w:noWrap w:val="0"/>
            <w:vAlign w:val="center"/>
          </w:tcPr>
          <w:p w14:paraId="597B15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2"/>
                <w:szCs w:val="22"/>
                <w:lang w:val="en-US" w:eastAsia="zh-CN"/>
              </w:rPr>
            </w:pPr>
            <w:r>
              <w:rPr>
                <w:rFonts w:hint="eastAsia" w:cs="宋体"/>
                <w:color w:val="auto"/>
                <w:sz w:val="22"/>
                <w:szCs w:val="22"/>
                <w:lang w:val="en-US" w:eastAsia="zh-CN"/>
              </w:rPr>
              <w:t>15</w:t>
            </w:r>
            <w:r>
              <w:rPr>
                <w:rFonts w:hint="eastAsia" w:ascii="宋体" w:hAnsi="宋体" w:eastAsia="宋体" w:cs="宋体"/>
                <w:color w:val="auto"/>
                <w:sz w:val="22"/>
                <w:szCs w:val="22"/>
                <w:lang w:val="en-US" w:eastAsia="zh-CN"/>
              </w:rPr>
              <w:t>分</w:t>
            </w:r>
          </w:p>
        </w:tc>
        <w:tc>
          <w:tcPr>
            <w:tcW w:w="5427" w:type="dxa"/>
            <w:tcBorders>
              <w:top w:val="single" w:color="auto" w:sz="4" w:space="0"/>
              <w:left w:val="single" w:color="auto" w:sz="4" w:space="0"/>
              <w:bottom w:val="single" w:color="auto" w:sz="4" w:space="0"/>
              <w:right w:val="single" w:color="auto" w:sz="4" w:space="0"/>
            </w:tcBorders>
            <w:noWrap w:val="0"/>
            <w:vAlign w:val="center"/>
          </w:tcPr>
          <w:p w14:paraId="4D5338C7">
            <w:pPr>
              <w:keepNext w:val="0"/>
              <w:keepLines w:val="0"/>
              <w:pageBreakBefore w:val="0"/>
              <w:widowControl/>
              <w:numPr>
                <w:ilvl w:val="0"/>
                <w:numId w:val="0"/>
              </w:numPr>
              <w:tabs>
                <w:tab w:val="left" w:pos="1191"/>
              </w:tabs>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磋商小组针对供应商提供的的</w:t>
            </w:r>
            <w:r>
              <w:rPr>
                <w:rFonts w:hint="eastAsia" w:cs="宋体"/>
                <w:color w:val="auto"/>
                <w:kern w:val="0"/>
                <w:sz w:val="22"/>
                <w:szCs w:val="22"/>
                <w:lang w:val="en-US" w:eastAsia="zh-CN" w:bidi="ar"/>
              </w:rPr>
              <w:t>服务计划</w:t>
            </w:r>
            <w:r>
              <w:rPr>
                <w:rFonts w:hint="eastAsia" w:ascii="宋体" w:hAnsi="宋体" w:eastAsia="宋体" w:cs="宋体"/>
                <w:color w:val="auto"/>
                <w:kern w:val="0"/>
                <w:sz w:val="22"/>
                <w:szCs w:val="22"/>
                <w:lang w:val="en-US" w:eastAsia="zh-CN" w:bidi="ar"/>
              </w:rPr>
              <w:t>方案进行综合打分。</w:t>
            </w:r>
          </w:p>
          <w:p w14:paraId="5E4224B4">
            <w:pPr>
              <w:keepNext w:val="0"/>
              <w:keepLines w:val="0"/>
              <w:pageBreakBefore w:val="0"/>
              <w:widowControl/>
              <w:numPr>
                <w:ilvl w:val="0"/>
                <w:numId w:val="0"/>
              </w:numPr>
              <w:tabs>
                <w:tab w:val="left" w:pos="1191"/>
              </w:tabs>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w:t>
            </w:r>
            <w:r>
              <w:rPr>
                <w:rFonts w:hint="eastAsia" w:cs="宋体"/>
                <w:color w:val="auto"/>
                <w:kern w:val="0"/>
                <w:sz w:val="22"/>
                <w:szCs w:val="22"/>
                <w:lang w:val="en-US" w:eastAsia="zh-CN" w:bidi="ar"/>
              </w:rPr>
              <w:t>服务计划</w:t>
            </w:r>
            <w:r>
              <w:rPr>
                <w:rFonts w:hint="eastAsia" w:ascii="宋体" w:hAnsi="宋体" w:eastAsia="宋体" w:cs="宋体"/>
                <w:color w:val="auto"/>
                <w:kern w:val="0"/>
                <w:sz w:val="22"/>
                <w:szCs w:val="22"/>
                <w:lang w:val="en-US" w:eastAsia="zh-CN" w:bidi="ar"/>
              </w:rPr>
              <w:t>具体详细、时间节点明确、衔接安排科学严谨、进度保证措施完善得</w:t>
            </w:r>
            <w:r>
              <w:rPr>
                <w:rFonts w:hint="eastAsia" w:cs="宋体"/>
                <w:color w:val="auto"/>
                <w:kern w:val="0"/>
                <w:sz w:val="22"/>
                <w:szCs w:val="22"/>
                <w:lang w:val="en-US" w:eastAsia="zh-CN" w:bidi="ar"/>
              </w:rPr>
              <w:t>15</w:t>
            </w:r>
            <w:r>
              <w:rPr>
                <w:rFonts w:hint="eastAsia" w:ascii="宋体" w:hAnsi="宋体" w:eastAsia="宋体" w:cs="宋体"/>
                <w:color w:val="auto"/>
                <w:kern w:val="0"/>
                <w:sz w:val="22"/>
                <w:szCs w:val="22"/>
                <w:lang w:val="en-US" w:eastAsia="zh-CN" w:bidi="ar"/>
              </w:rPr>
              <w:t>分；</w:t>
            </w:r>
          </w:p>
          <w:p w14:paraId="46519760">
            <w:pPr>
              <w:keepNext w:val="0"/>
              <w:keepLines w:val="0"/>
              <w:pageBreakBefore w:val="0"/>
              <w:widowControl/>
              <w:numPr>
                <w:ilvl w:val="0"/>
                <w:numId w:val="0"/>
              </w:numPr>
              <w:tabs>
                <w:tab w:val="left" w:pos="1191"/>
              </w:tabs>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（2）</w:t>
            </w:r>
            <w:r>
              <w:rPr>
                <w:rFonts w:hint="eastAsia" w:cs="宋体"/>
                <w:color w:val="auto"/>
                <w:kern w:val="0"/>
                <w:sz w:val="22"/>
                <w:szCs w:val="22"/>
                <w:lang w:val="en-US" w:eastAsia="zh-CN" w:bidi="ar"/>
              </w:rPr>
              <w:t>服务计划</w:t>
            </w:r>
            <w:r>
              <w:rPr>
                <w:rFonts w:hint="eastAsia" w:ascii="宋体" w:hAnsi="宋体" w:eastAsia="宋体" w:cs="宋体"/>
                <w:color w:val="auto"/>
                <w:kern w:val="0"/>
                <w:sz w:val="22"/>
                <w:szCs w:val="22"/>
                <w:lang w:val="en-US" w:eastAsia="zh-CN" w:bidi="ar"/>
              </w:rPr>
              <w:t>合理、时间节点缺失、衔接安排合理、具有进度保证措施得</w:t>
            </w:r>
            <w:r>
              <w:rPr>
                <w:rFonts w:hint="eastAsia" w:cs="宋体"/>
                <w:color w:val="auto"/>
                <w:kern w:val="0"/>
                <w:sz w:val="22"/>
                <w:szCs w:val="22"/>
                <w:lang w:val="en-US" w:eastAsia="zh-CN" w:bidi="ar"/>
              </w:rPr>
              <w:t>11</w:t>
            </w:r>
            <w:r>
              <w:rPr>
                <w:rFonts w:hint="eastAsia" w:ascii="宋体" w:hAnsi="宋体" w:eastAsia="宋体" w:cs="宋体"/>
                <w:color w:val="auto"/>
                <w:kern w:val="0"/>
                <w:sz w:val="22"/>
                <w:szCs w:val="22"/>
                <w:lang w:val="en-US" w:eastAsia="zh-CN" w:bidi="ar"/>
              </w:rPr>
              <w:t>分；</w:t>
            </w:r>
          </w:p>
          <w:p w14:paraId="08CDAA9A">
            <w:pPr>
              <w:keepNext w:val="0"/>
              <w:keepLines w:val="0"/>
              <w:pageBreakBefore w:val="0"/>
              <w:widowControl/>
              <w:numPr>
                <w:ilvl w:val="0"/>
                <w:numId w:val="0"/>
              </w:numPr>
              <w:tabs>
                <w:tab w:val="left" w:pos="1191"/>
              </w:tabs>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（3）</w:t>
            </w:r>
            <w:r>
              <w:rPr>
                <w:rFonts w:hint="eastAsia" w:cs="宋体"/>
                <w:color w:val="auto"/>
                <w:kern w:val="0"/>
                <w:sz w:val="22"/>
                <w:szCs w:val="22"/>
                <w:lang w:val="en-US" w:eastAsia="zh-CN" w:bidi="ar"/>
              </w:rPr>
              <w:t>服务计划</w:t>
            </w:r>
            <w:r>
              <w:rPr>
                <w:rFonts w:hint="eastAsia" w:ascii="宋体" w:hAnsi="宋体" w:eastAsia="宋体" w:cs="宋体"/>
                <w:color w:val="auto"/>
                <w:kern w:val="0"/>
                <w:sz w:val="22"/>
                <w:szCs w:val="22"/>
                <w:lang w:val="en-US" w:eastAsia="zh-CN" w:bidi="ar"/>
              </w:rPr>
              <w:t>不合理、时间节点不清晰、衔接安排不流畅、进度保证措施不到位得</w:t>
            </w:r>
            <w:r>
              <w:rPr>
                <w:rFonts w:hint="eastAsia" w:cs="宋体"/>
                <w:color w:val="auto"/>
                <w:kern w:val="0"/>
                <w:sz w:val="22"/>
                <w:szCs w:val="22"/>
                <w:lang w:val="en-US" w:eastAsia="zh-CN" w:bidi="ar"/>
              </w:rPr>
              <w:t>7</w:t>
            </w:r>
            <w:r>
              <w:rPr>
                <w:rFonts w:hint="eastAsia" w:ascii="宋体" w:hAnsi="宋体" w:eastAsia="宋体" w:cs="宋体"/>
                <w:color w:val="auto"/>
                <w:kern w:val="0"/>
                <w:sz w:val="22"/>
                <w:szCs w:val="22"/>
                <w:lang w:val="en-US" w:eastAsia="zh-CN" w:bidi="ar"/>
              </w:rPr>
              <w:t>分；</w:t>
            </w:r>
          </w:p>
          <w:p w14:paraId="13710405">
            <w:pPr>
              <w:keepNext w:val="0"/>
              <w:keepLines w:val="0"/>
              <w:pageBreakBefore w:val="0"/>
              <w:widowControl/>
              <w:numPr>
                <w:ilvl w:val="0"/>
                <w:numId w:val="0"/>
              </w:numPr>
              <w:tabs>
                <w:tab w:val="left" w:pos="1191"/>
              </w:tabs>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（4）不提供不得分。</w:t>
            </w:r>
          </w:p>
        </w:tc>
      </w:tr>
      <w:tr w14:paraId="2C49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11" w:type="dxa"/>
            <w:vMerge w:val="continue"/>
            <w:tcBorders>
              <w:left w:val="single" w:color="auto" w:sz="4" w:space="0"/>
              <w:right w:val="single" w:color="auto" w:sz="4" w:space="0"/>
            </w:tcBorders>
            <w:noWrap w:val="0"/>
            <w:vAlign w:val="center"/>
          </w:tcPr>
          <w:p w14:paraId="3F5ED4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Cs/>
                <w:color w:val="auto"/>
                <w:spacing w:val="8"/>
                <w:sz w:val="22"/>
                <w:szCs w:val="22"/>
                <w:lang w:val="en-US" w:eastAsia="zh-CN"/>
              </w:rPr>
            </w:pPr>
          </w:p>
        </w:tc>
        <w:tc>
          <w:tcPr>
            <w:tcW w:w="1183" w:type="dxa"/>
            <w:vMerge w:val="continue"/>
            <w:tcBorders>
              <w:left w:val="single" w:color="auto" w:sz="4" w:space="0"/>
              <w:right w:val="single" w:color="auto" w:sz="4" w:space="0"/>
            </w:tcBorders>
            <w:noWrap w:val="0"/>
            <w:vAlign w:val="center"/>
          </w:tcPr>
          <w:p w14:paraId="045B7D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2"/>
                <w:szCs w:val="22"/>
                <w:lang w:val="en-US" w:eastAsia="zh-CN"/>
              </w:rPr>
            </w:pPr>
          </w:p>
        </w:tc>
        <w:tc>
          <w:tcPr>
            <w:tcW w:w="1201" w:type="dxa"/>
            <w:tcBorders>
              <w:left w:val="single" w:color="auto" w:sz="4" w:space="0"/>
              <w:right w:val="single" w:color="auto" w:sz="4" w:space="0"/>
            </w:tcBorders>
            <w:noWrap w:val="0"/>
            <w:vAlign w:val="center"/>
          </w:tcPr>
          <w:p w14:paraId="1F6809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拟投入设施设备</w:t>
            </w:r>
          </w:p>
        </w:tc>
        <w:tc>
          <w:tcPr>
            <w:tcW w:w="757" w:type="dxa"/>
            <w:tcBorders>
              <w:top w:val="single" w:color="auto" w:sz="4" w:space="0"/>
              <w:left w:val="single" w:color="auto" w:sz="4" w:space="0"/>
              <w:right w:val="single" w:color="auto" w:sz="4" w:space="0"/>
            </w:tcBorders>
            <w:noWrap w:val="0"/>
            <w:vAlign w:val="center"/>
          </w:tcPr>
          <w:p w14:paraId="25BE7B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2"/>
                <w:szCs w:val="22"/>
                <w:lang w:val="en-US" w:eastAsia="zh-CN"/>
              </w:rPr>
            </w:pPr>
            <w:r>
              <w:rPr>
                <w:rFonts w:hint="eastAsia" w:cs="宋体"/>
                <w:color w:val="auto"/>
                <w:sz w:val="22"/>
                <w:szCs w:val="22"/>
                <w:lang w:val="en-US" w:eastAsia="zh-CN"/>
              </w:rPr>
              <w:t>1</w:t>
            </w:r>
            <w:r>
              <w:rPr>
                <w:rFonts w:hint="eastAsia" w:ascii="宋体" w:hAnsi="宋体" w:eastAsia="宋体" w:cs="宋体"/>
                <w:color w:val="auto"/>
                <w:sz w:val="22"/>
                <w:szCs w:val="22"/>
                <w:lang w:val="en-US" w:eastAsia="en-US"/>
              </w:rPr>
              <w:t>5分</w:t>
            </w:r>
          </w:p>
        </w:tc>
        <w:tc>
          <w:tcPr>
            <w:tcW w:w="5427" w:type="dxa"/>
            <w:tcBorders>
              <w:top w:val="single" w:color="auto" w:sz="4" w:space="0"/>
              <w:left w:val="single" w:color="auto" w:sz="4" w:space="0"/>
              <w:bottom w:val="single" w:color="auto" w:sz="4" w:space="0"/>
              <w:right w:val="single" w:color="auto" w:sz="4" w:space="0"/>
            </w:tcBorders>
            <w:noWrap w:val="0"/>
            <w:vAlign w:val="center"/>
          </w:tcPr>
          <w:p w14:paraId="7A44BE3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磋商小组针对供应商提供的本项目拟投入的设施设备进行综合打分。</w:t>
            </w:r>
          </w:p>
          <w:p w14:paraId="4BA644E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（1）设施设备数量充足、配备合理、智能先进，配备视频监控设备得</w:t>
            </w:r>
            <w:r>
              <w:rPr>
                <w:rFonts w:hint="eastAsia" w:cs="宋体"/>
                <w:color w:val="auto"/>
                <w:sz w:val="22"/>
                <w:szCs w:val="22"/>
                <w:lang w:val="en-US" w:eastAsia="zh-CN"/>
              </w:rPr>
              <w:t>1</w:t>
            </w:r>
            <w:r>
              <w:rPr>
                <w:rFonts w:hint="eastAsia" w:ascii="宋体" w:hAnsi="宋体" w:eastAsia="宋体" w:cs="宋体"/>
                <w:color w:val="auto"/>
                <w:sz w:val="22"/>
                <w:szCs w:val="22"/>
                <w:lang w:val="en-US" w:eastAsia="zh-CN"/>
              </w:rPr>
              <w:t>5分；</w:t>
            </w:r>
          </w:p>
          <w:p w14:paraId="60FD283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（2）设施设备数量满足项目需求，功能老旧得</w:t>
            </w:r>
            <w:r>
              <w:rPr>
                <w:rFonts w:hint="eastAsia" w:cs="宋体"/>
                <w:color w:val="auto"/>
                <w:sz w:val="22"/>
                <w:szCs w:val="22"/>
                <w:lang w:val="en-US" w:eastAsia="zh-CN"/>
              </w:rPr>
              <w:t>11</w:t>
            </w:r>
            <w:r>
              <w:rPr>
                <w:rFonts w:hint="eastAsia" w:ascii="宋体" w:hAnsi="宋体" w:eastAsia="宋体" w:cs="宋体"/>
                <w:color w:val="auto"/>
                <w:sz w:val="22"/>
                <w:szCs w:val="22"/>
                <w:lang w:val="en-US" w:eastAsia="zh-CN"/>
              </w:rPr>
              <w:t>分；</w:t>
            </w:r>
          </w:p>
          <w:p w14:paraId="78EA8F3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（3）设施设备数量不足、未配备满足安全管理需要的视频监控设备得</w:t>
            </w:r>
            <w:r>
              <w:rPr>
                <w:rFonts w:hint="eastAsia" w:cs="宋体"/>
                <w:color w:val="auto"/>
                <w:sz w:val="22"/>
                <w:szCs w:val="22"/>
                <w:lang w:val="en-US" w:eastAsia="zh-CN"/>
              </w:rPr>
              <w:t>7</w:t>
            </w:r>
            <w:r>
              <w:rPr>
                <w:rFonts w:hint="eastAsia" w:ascii="宋体" w:hAnsi="宋体" w:eastAsia="宋体" w:cs="宋体"/>
                <w:color w:val="auto"/>
                <w:sz w:val="22"/>
                <w:szCs w:val="22"/>
                <w:lang w:val="en-US" w:eastAsia="zh-CN"/>
              </w:rPr>
              <w:t>分；</w:t>
            </w:r>
          </w:p>
          <w:p w14:paraId="262C2AE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en-US"/>
              </w:rPr>
              <w:t>（4）不提供不得分。</w:t>
            </w:r>
          </w:p>
        </w:tc>
      </w:tr>
      <w:tr w14:paraId="310C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11" w:type="dxa"/>
            <w:tcBorders>
              <w:left w:val="single" w:color="auto" w:sz="4" w:space="0"/>
              <w:right w:val="single" w:color="auto" w:sz="4" w:space="0"/>
            </w:tcBorders>
            <w:noWrap w:val="0"/>
            <w:vAlign w:val="center"/>
          </w:tcPr>
          <w:p w14:paraId="3F5D31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Cs/>
                <w:color w:val="auto"/>
                <w:spacing w:val="8"/>
                <w:sz w:val="22"/>
                <w:szCs w:val="22"/>
                <w:lang w:val="en-US" w:eastAsia="zh-CN"/>
              </w:rPr>
            </w:pPr>
            <w:r>
              <w:rPr>
                <w:rFonts w:hint="eastAsia" w:ascii="宋体" w:hAnsi="宋体" w:eastAsia="宋体" w:cs="宋体"/>
                <w:bCs/>
                <w:color w:val="auto"/>
                <w:spacing w:val="8"/>
                <w:sz w:val="22"/>
                <w:szCs w:val="22"/>
                <w:lang w:val="en-US" w:eastAsia="zh-CN"/>
              </w:rPr>
              <w:t>3</w:t>
            </w:r>
          </w:p>
        </w:tc>
        <w:tc>
          <w:tcPr>
            <w:tcW w:w="1183" w:type="dxa"/>
            <w:tcBorders>
              <w:left w:val="single" w:color="auto" w:sz="4" w:space="0"/>
              <w:right w:val="single" w:color="auto" w:sz="4" w:space="0"/>
            </w:tcBorders>
            <w:noWrap w:val="0"/>
            <w:vAlign w:val="center"/>
          </w:tcPr>
          <w:p w14:paraId="3275E2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报价部分（</w:t>
            </w:r>
            <w:r>
              <w:rPr>
                <w:rFonts w:hint="eastAsia" w:cs="宋体"/>
                <w:color w:val="auto"/>
                <w:sz w:val="22"/>
                <w:szCs w:val="22"/>
                <w:lang w:val="en-US" w:eastAsia="zh-CN"/>
              </w:rPr>
              <w:t>15</w:t>
            </w:r>
            <w:r>
              <w:rPr>
                <w:rFonts w:hint="eastAsia" w:ascii="宋体" w:hAnsi="宋体" w:eastAsia="宋体" w:cs="宋体"/>
                <w:color w:val="auto"/>
                <w:sz w:val="22"/>
                <w:szCs w:val="22"/>
                <w:lang w:val="en-US" w:eastAsia="zh-CN"/>
              </w:rPr>
              <w:t>分）</w:t>
            </w:r>
          </w:p>
        </w:tc>
        <w:tc>
          <w:tcPr>
            <w:tcW w:w="1201" w:type="dxa"/>
            <w:tcBorders>
              <w:top w:val="single" w:color="auto" w:sz="4" w:space="0"/>
              <w:left w:val="single" w:color="auto" w:sz="4" w:space="0"/>
              <w:right w:val="single" w:color="auto" w:sz="4" w:space="0"/>
            </w:tcBorders>
            <w:noWrap w:val="0"/>
            <w:vAlign w:val="center"/>
          </w:tcPr>
          <w:p w14:paraId="730793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报价</w:t>
            </w:r>
          </w:p>
        </w:tc>
        <w:tc>
          <w:tcPr>
            <w:tcW w:w="757" w:type="dxa"/>
            <w:tcBorders>
              <w:top w:val="single" w:color="auto" w:sz="4" w:space="0"/>
              <w:left w:val="single" w:color="auto" w:sz="4" w:space="0"/>
              <w:right w:val="single" w:color="auto" w:sz="4" w:space="0"/>
            </w:tcBorders>
            <w:noWrap w:val="0"/>
            <w:vAlign w:val="center"/>
          </w:tcPr>
          <w:p w14:paraId="4BDB9D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2"/>
                <w:szCs w:val="22"/>
                <w:lang w:val="en-US" w:eastAsia="zh-CN"/>
              </w:rPr>
            </w:pPr>
            <w:r>
              <w:rPr>
                <w:rFonts w:hint="eastAsia" w:cs="宋体"/>
                <w:color w:val="auto"/>
                <w:sz w:val="22"/>
                <w:szCs w:val="22"/>
                <w:lang w:val="en-US" w:eastAsia="zh-CN"/>
              </w:rPr>
              <w:t>15</w:t>
            </w:r>
            <w:r>
              <w:rPr>
                <w:rFonts w:hint="eastAsia" w:ascii="宋体" w:hAnsi="宋体" w:eastAsia="宋体" w:cs="宋体"/>
                <w:color w:val="auto"/>
                <w:sz w:val="22"/>
                <w:szCs w:val="22"/>
                <w:lang w:val="en-US" w:eastAsia="zh-CN"/>
              </w:rPr>
              <w:t>分</w:t>
            </w:r>
          </w:p>
        </w:tc>
        <w:tc>
          <w:tcPr>
            <w:tcW w:w="5427" w:type="dxa"/>
            <w:tcBorders>
              <w:top w:val="single" w:color="auto" w:sz="4" w:space="0"/>
              <w:left w:val="single" w:color="auto" w:sz="4" w:space="0"/>
              <w:bottom w:val="single" w:color="auto" w:sz="4" w:space="0"/>
              <w:right w:val="single" w:color="auto" w:sz="4" w:space="0"/>
            </w:tcBorders>
            <w:noWrap w:val="0"/>
            <w:vAlign w:val="center"/>
          </w:tcPr>
          <w:p w14:paraId="7D15C584">
            <w:pPr>
              <w:keepNext w:val="0"/>
              <w:keepLines w:val="0"/>
              <w:pageBreakBefore w:val="0"/>
              <w:widowControl/>
              <w:tabs>
                <w:tab w:val="left" w:pos="1191"/>
              </w:tabs>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color w:val="auto"/>
                <w:kern w:val="0"/>
                <w:sz w:val="22"/>
                <w:szCs w:val="22"/>
                <w:lang w:eastAsia="zh-CN" w:bidi="ar"/>
              </w:rPr>
            </w:pPr>
            <w:r>
              <w:rPr>
                <w:rFonts w:hint="eastAsia" w:ascii="宋体" w:hAnsi="宋体" w:eastAsia="宋体" w:cs="宋体"/>
                <w:color w:val="auto"/>
                <w:kern w:val="0"/>
                <w:sz w:val="22"/>
                <w:szCs w:val="22"/>
                <w:lang w:eastAsia="zh-CN" w:bidi="ar"/>
              </w:rPr>
              <w:t>响应报价得分＝（评标基准价/响应报价）×价格分值（注：满足供应文件要求且报价下浮率最高的响应报价为评标基准价。）最高报价下浮率不是中选的唯一依据。｛注：满足供应文件要求且报价下浮率最高（相当于响应价格最低）的为评标基准价。如：响应报价下浮率60%为最高，评标基准价为（1-60%），得满分</w:t>
            </w:r>
            <w:r>
              <w:rPr>
                <w:rFonts w:hint="eastAsia" w:cs="宋体"/>
                <w:color w:val="auto"/>
                <w:kern w:val="0"/>
                <w:sz w:val="22"/>
                <w:szCs w:val="22"/>
                <w:lang w:val="en-US" w:eastAsia="zh-CN" w:bidi="ar"/>
              </w:rPr>
              <w:t>15</w:t>
            </w:r>
            <w:r>
              <w:rPr>
                <w:rFonts w:hint="eastAsia" w:ascii="宋体" w:hAnsi="宋体" w:eastAsia="宋体" w:cs="宋体"/>
                <w:color w:val="auto"/>
                <w:kern w:val="0"/>
                <w:sz w:val="22"/>
                <w:szCs w:val="22"/>
                <w:lang w:eastAsia="zh-CN" w:bidi="ar"/>
              </w:rPr>
              <w:t>分；有响应报价下浮率为50%，响应报价为（1-50%），报价得分为[（1-60%）/（1-50%）]×</w:t>
            </w:r>
            <w:r>
              <w:rPr>
                <w:rFonts w:hint="eastAsia" w:cs="宋体"/>
                <w:color w:val="auto"/>
                <w:kern w:val="0"/>
                <w:sz w:val="22"/>
                <w:szCs w:val="22"/>
                <w:lang w:val="en-US" w:eastAsia="zh-CN" w:bidi="ar"/>
              </w:rPr>
              <w:t>15</w:t>
            </w:r>
            <w:r>
              <w:rPr>
                <w:rFonts w:hint="eastAsia" w:ascii="宋体" w:hAnsi="宋体" w:eastAsia="宋体" w:cs="宋体"/>
                <w:color w:val="auto"/>
                <w:kern w:val="0"/>
                <w:sz w:val="22"/>
                <w:szCs w:val="22"/>
                <w:lang w:eastAsia="zh-CN" w:bidi="ar"/>
              </w:rPr>
              <w:t>=</w:t>
            </w:r>
            <w:r>
              <w:rPr>
                <w:rFonts w:hint="eastAsia" w:cs="宋体"/>
                <w:color w:val="auto"/>
                <w:kern w:val="0"/>
                <w:sz w:val="22"/>
                <w:szCs w:val="22"/>
                <w:lang w:val="en-US" w:eastAsia="zh-CN" w:bidi="ar"/>
              </w:rPr>
              <w:t>12</w:t>
            </w:r>
            <w:r>
              <w:rPr>
                <w:rFonts w:hint="eastAsia" w:ascii="宋体" w:hAnsi="宋体" w:eastAsia="宋体" w:cs="宋体"/>
                <w:color w:val="auto"/>
                <w:kern w:val="0"/>
                <w:sz w:val="22"/>
                <w:szCs w:val="22"/>
                <w:lang w:eastAsia="zh-CN" w:bidi="ar"/>
              </w:rPr>
              <w:t>分；以此类推。｝</w:t>
            </w:r>
          </w:p>
        </w:tc>
      </w:tr>
    </w:tbl>
    <w:p w14:paraId="752869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B2678"/>
    <w:rsid w:val="048C04A2"/>
    <w:rsid w:val="06DF034A"/>
    <w:rsid w:val="13AC4872"/>
    <w:rsid w:val="166B4A80"/>
    <w:rsid w:val="1D4F0E60"/>
    <w:rsid w:val="1E316937"/>
    <w:rsid w:val="212800A8"/>
    <w:rsid w:val="38A67031"/>
    <w:rsid w:val="3DB81D34"/>
    <w:rsid w:val="4CFB75D8"/>
    <w:rsid w:val="4D1159B0"/>
    <w:rsid w:val="555D3FFE"/>
    <w:rsid w:val="57761E35"/>
    <w:rsid w:val="5C415A34"/>
    <w:rsid w:val="5DA4795F"/>
    <w:rsid w:val="605C6868"/>
    <w:rsid w:val="67D55D5A"/>
    <w:rsid w:val="681103E9"/>
    <w:rsid w:val="705650F0"/>
    <w:rsid w:val="71B23CA8"/>
    <w:rsid w:val="75214E2E"/>
    <w:rsid w:val="78294B93"/>
    <w:rsid w:val="78A47D6B"/>
    <w:rsid w:val="7F136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1785</Words>
  <Characters>1895</Characters>
  <Lines>0</Lines>
  <Paragraphs>0</Paragraphs>
  <TotalTime>2</TotalTime>
  <ScaleCrop>false</ScaleCrop>
  <LinksUpToDate>false</LinksUpToDate>
  <CharactersWithSpaces>1895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2025-05-14T09:34:00Z</dcterms:created>
  <dc:creator>Administrator</dc:creator>
  <cp:lastModifiedBy>三石</cp:lastModifiedBy>
  <cp:lastPrinted>2025-07-22T04:31:00Z</cp:lastPrinted>
  <dcterms:modified xsi:type="dcterms:W3CDTF">2025-07-23T01:37:23Z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eyJoZGlkIjoiNDhkMzVkNzcwZjIxYTNjMjdhM2MyNmQ0Njc1YmRlNDYiLCJ1c2VySWQiOiIxNTc0NDAzMDc3In0=</vt:lpwstr>
  </property>
  <property fmtid="{D5CDD505-2E9C-101B-9397-08002B2CF9AE}" pid="4" name="ICV">
    <vt:lpwstr>636353D29B9541CE80F50D8D9916C511_12</vt:lpwstr>
  </property>
</Properties>
</file>