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5CEC5">
      <w:pPr>
        <w:keepNext w:val="0"/>
        <w:keepLines w:val="0"/>
        <w:pageBreakBefore w:val="0"/>
        <w:widowControl/>
        <w:suppressLineNumbers w:val="0"/>
        <w:kinsoku/>
        <w:wordWrap/>
        <w:overflowPunct/>
        <w:topLinePunct w:val="0"/>
        <w:autoSpaceDE/>
        <w:autoSpaceDN/>
        <w:bidi w:val="0"/>
        <w:adjustRightInd/>
        <w:snapToGrid/>
        <w:spacing w:line="560" w:lineRule="exact"/>
        <w:ind w:left="-120" w:leftChars="-400" w:right="-512" w:rightChars="-244" w:hanging="720" w:hangingChars="225"/>
        <w:jc w:val="left"/>
        <w:textAlignment w:val="center"/>
        <w:rPr>
          <w:rFonts w:hint="default" w:ascii="Times New Roman" w:hAnsi="Times New Roman" w:eastAsia="方正黑体_GBK" w:cs="Times New Roman"/>
          <w:b w:val="0"/>
          <w:bCs w:val="0"/>
          <w:i w:val="0"/>
          <w:iCs w:val="0"/>
          <w:color w:val="000000"/>
          <w:kern w:val="0"/>
          <w:sz w:val="32"/>
          <w:szCs w:val="32"/>
          <w:u w:val="none"/>
          <w:lang w:val="en-US" w:eastAsia="zh-CN" w:bidi="ar"/>
        </w:rPr>
      </w:pPr>
      <w:r>
        <w:rPr>
          <w:rFonts w:hint="default" w:ascii="Times New Roman" w:hAnsi="Times New Roman" w:eastAsia="方正黑体_GBK" w:cs="Times New Roman"/>
          <w:b w:val="0"/>
          <w:bCs w:val="0"/>
          <w:i w:val="0"/>
          <w:iCs w:val="0"/>
          <w:color w:val="000000"/>
          <w:kern w:val="0"/>
          <w:sz w:val="32"/>
          <w:szCs w:val="32"/>
          <w:u w:val="none"/>
          <w:lang w:val="en-US" w:eastAsia="zh-CN" w:bidi="ar"/>
        </w:rPr>
        <w:t>附件</w:t>
      </w:r>
      <w:r>
        <w:rPr>
          <w:rFonts w:hint="default" w:ascii="Times New Roman" w:hAnsi="Times New Roman" w:eastAsia="方正黑体_GBK" w:cs="Times New Roman"/>
          <w:b w:val="0"/>
          <w:bCs w:val="0"/>
          <w:i w:val="0"/>
          <w:iCs w:val="0"/>
          <w:color w:val="000000"/>
          <w:kern w:val="0"/>
          <w:sz w:val="32"/>
          <w:szCs w:val="32"/>
          <w:u w:val="none"/>
          <w:lang w:val="en-US" w:eastAsia="zh-CN" w:bidi="ar"/>
        </w:rPr>
        <w:t>1</w:t>
      </w:r>
    </w:p>
    <w:p w14:paraId="52746D90">
      <w:pPr>
        <w:keepNext w:val="0"/>
        <w:keepLines w:val="0"/>
        <w:pageBreakBefore w:val="0"/>
        <w:widowControl/>
        <w:suppressLineNumbers w:val="0"/>
        <w:kinsoku/>
        <w:wordWrap/>
        <w:overflowPunct/>
        <w:topLinePunct w:val="0"/>
        <w:autoSpaceDE/>
        <w:autoSpaceDN/>
        <w:bidi w:val="0"/>
        <w:adjustRightInd/>
        <w:snapToGrid/>
        <w:spacing w:line="560" w:lineRule="exact"/>
        <w:ind w:left="-3" w:leftChars="-200" w:right="-512" w:rightChars="-244" w:hanging="417" w:hangingChars="116"/>
        <w:jc w:val="center"/>
        <w:textAlignment w:val="center"/>
        <w:rPr>
          <w:rFonts w:hint="eastAsia" w:ascii="方正大标宋_GBK" w:hAnsi="方正大标宋_GBK" w:eastAsia="方正大标宋_GBK" w:cs="方正大标宋_GBK"/>
          <w:i w:val="0"/>
          <w:iCs w:val="0"/>
          <w:color w:val="000000"/>
          <w:kern w:val="0"/>
          <w:sz w:val="36"/>
          <w:szCs w:val="36"/>
          <w:u w:val="none"/>
          <w:lang w:val="en-US" w:eastAsia="zh-CN" w:bidi="ar"/>
        </w:rPr>
      </w:pPr>
      <w:r>
        <w:rPr>
          <w:rFonts w:hint="eastAsia" w:ascii="方正大标宋_GBK" w:hAnsi="方正大标宋_GBK" w:eastAsia="方正大标宋_GBK" w:cs="方正大标宋_GBK"/>
          <w:i w:val="0"/>
          <w:iCs w:val="0"/>
          <w:color w:val="000000"/>
          <w:kern w:val="0"/>
          <w:sz w:val="36"/>
          <w:szCs w:val="36"/>
          <w:u w:val="none"/>
          <w:lang w:val="en-US" w:eastAsia="zh-CN" w:bidi="ar"/>
        </w:rPr>
        <w:t>2025年度江门市第一批市扶持科技发展资金项目明细表1（2025年度江门市基础与应用基础研究重点项目）</w:t>
      </w:r>
    </w:p>
    <w:tbl>
      <w:tblPr>
        <w:tblStyle w:val="2"/>
        <w:tblW w:w="10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3688"/>
        <w:gridCol w:w="2185"/>
        <w:gridCol w:w="972"/>
        <w:gridCol w:w="983"/>
        <w:gridCol w:w="1087"/>
        <w:gridCol w:w="997"/>
      </w:tblGrid>
      <w:tr w14:paraId="55C8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blHeader/>
          <w:jc w:val="center"/>
        </w:trPr>
        <w:tc>
          <w:tcPr>
            <w:tcW w:w="510" w:type="dxa"/>
            <w:vMerge w:val="restart"/>
            <w:tcBorders>
              <w:top w:val="double" w:color="000000" w:sz="4" w:space="0"/>
              <w:left w:val="double" w:color="000000" w:sz="4" w:space="0"/>
              <w:bottom w:val="single" w:color="000000" w:sz="4" w:space="0"/>
              <w:right w:val="single" w:color="000000" w:sz="4" w:space="0"/>
            </w:tcBorders>
            <w:shd w:val="clear" w:color="auto" w:fill="auto"/>
            <w:vAlign w:val="center"/>
          </w:tcPr>
          <w:p w14:paraId="67CA0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688" w:type="dxa"/>
            <w:vMerge w:val="restart"/>
            <w:tcBorders>
              <w:top w:val="double" w:color="000000" w:sz="4" w:space="0"/>
              <w:left w:val="single" w:color="000000" w:sz="4" w:space="0"/>
              <w:bottom w:val="single" w:color="000000" w:sz="4" w:space="0"/>
              <w:right w:val="single" w:color="000000" w:sz="4" w:space="0"/>
            </w:tcBorders>
            <w:shd w:val="clear" w:color="auto" w:fill="auto"/>
            <w:vAlign w:val="center"/>
          </w:tcPr>
          <w:p w14:paraId="545D06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185" w:type="dxa"/>
            <w:vMerge w:val="restart"/>
            <w:tcBorders>
              <w:top w:val="double" w:color="000000" w:sz="4" w:space="0"/>
              <w:left w:val="single" w:color="000000" w:sz="4" w:space="0"/>
              <w:bottom w:val="single" w:color="000000" w:sz="4" w:space="0"/>
              <w:right w:val="single" w:color="000000" w:sz="4" w:space="0"/>
            </w:tcBorders>
            <w:shd w:val="clear" w:color="auto" w:fill="auto"/>
            <w:noWrap/>
            <w:vAlign w:val="center"/>
          </w:tcPr>
          <w:p w14:paraId="7E2192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单位名称</w:t>
            </w:r>
          </w:p>
        </w:tc>
        <w:tc>
          <w:tcPr>
            <w:tcW w:w="3042" w:type="dxa"/>
            <w:gridSpan w:val="3"/>
            <w:tcBorders>
              <w:top w:val="double" w:color="000000" w:sz="4" w:space="0"/>
              <w:left w:val="single" w:color="000000" w:sz="4" w:space="0"/>
              <w:bottom w:val="single" w:color="000000" w:sz="4" w:space="0"/>
              <w:right w:val="single" w:color="000000" w:sz="4" w:space="0"/>
            </w:tcBorders>
            <w:shd w:val="clear" w:color="auto" w:fill="auto"/>
            <w:vAlign w:val="center"/>
          </w:tcPr>
          <w:p w14:paraId="2848C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补助资金安排情况（万元）</w:t>
            </w:r>
          </w:p>
        </w:tc>
        <w:tc>
          <w:tcPr>
            <w:tcW w:w="997" w:type="dxa"/>
            <w:vMerge w:val="restart"/>
            <w:tcBorders>
              <w:top w:val="double" w:color="000000" w:sz="4" w:space="0"/>
              <w:left w:val="single" w:color="000000" w:sz="4" w:space="0"/>
              <w:bottom w:val="single" w:color="000000" w:sz="4" w:space="0"/>
              <w:right w:val="double" w:color="000000" w:sz="4" w:space="0"/>
            </w:tcBorders>
            <w:shd w:val="clear" w:color="auto" w:fill="auto"/>
            <w:vAlign w:val="center"/>
          </w:tcPr>
          <w:p w14:paraId="1D34B3A2">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所属县</w:t>
            </w:r>
          </w:p>
          <w:p w14:paraId="5822CC14">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spacing w:val="-20"/>
                <w:kern w:val="0"/>
                <w:sz w:val="24"/>
                <w:szCs w:val="24"/>
                <w:u w:val="none"/>
                <w:lang w:val="en-US" w:eastAsia="zh-CN" w:bidi="ar"/>
              </w:rPr>
              <w:t>（市、区）</w:t>
            </w:r>
          </w:p>
        </w:tc>
      </w:tr>
      <w:tr w14:paraId="3D46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blHeader/>
          <w:jc w:val="center"/>
        </w:trPr>
        <w:tc>
          <w:tcPr>
            <w:tcW w:w="510" w:type="dxa"/>
            <w:vMerge w:val="continue"/>
            <w:tcBorders>
              <w:top w:val="single" w:color="000000" w:sz="4" w:space="0"/>
              <w:left w:val="double" w:color="000000" w:sz="4" w:space="0"/>
              <w:bottom w:val="single" w:color="000000" w:sz="4" w:space="0"/>
              <w:right w:val="single" w:color="000000" w:sz="4" w:space="0"/>
            </w:tcBorders>
            <w:shd w:val="clear" w:color="auto" w:fill="auto"/>
            <w:vAlign w:val="center"/>
          </w:tcPr>
          <w:p w14:paraId="06BD08B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E98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36E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C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市本级资金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6628">
            <w:pPr>
              <w:keepNext w:val="0"/>
              <w:keepLines w:val="0"/>
              <w:pageBreakBefore w:val="0"/>
              <w:widowControl/>
              <w:suppressLineNumbers w:val="0"/>
              <w:kinsoku/>
              <w:wordWrap/>
              <w:overflowPunct/>
              <w:topLinePunct w:val="0"/>
              <w:autoSpaceDE/>
              <w:autoSpaceDN/>
              <w:bidi w:val="0"/>
              <w:adjustRightInd/>
              <w:snapToGrid/>
              <w:spacing w:line="260" w:lineRule="exact"/>
              <w:ind w:left="-210" w:leftChars="-100" w:right="-210" w:rightChars="-100"/>
              <w:jc w:val="center"/>
              <w:textAlignment w:val="center"/>
              <w:rPr>
                <w:rStyle w:val="4"/>
                <w:rFonts w:hint="eastAsia" w:ascii="方正黑体_GBK" w:hAnsi="方正黑体_GBK" w:eastAsia="方正黑体_GBK" w:cs="方正黑体_GBK"/>
                <w:spacing w:val="-20"/>
                <w:sz w:val="24"/>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县</w:t>
            </w:r>
            <w:r>
              <w:rPr>
                <w:rStyle w:val="4"/>
                <w:rFonts w:hint="eastAsia" w:ascii="方正黑体_GBK" w:hAnsi="方正黑体_GBK" w:eastAsia="方正黑体_GBK" w:cs="方正黑体_GBK"/>
                <w:spacing w:val="-20"/>
                <w:sz w:val="24"/>
                <w:lang w:val="en-US" w:eastAsia="zh-CN" w:bidi="ar"/>
              </w:rPr>
              <w:t>(</w:t>
            </w:r>
            <w:r>
              <w:rPr>
                <w:rStyle w:val="5"/>
                <w:rFonts w:hint="eastAsia" w:ascii="方正黑体_GBK" w:hAnsi="方正黑体_GBK" w:eastAsia="方正黑体_GBK" w:cs="方正黑体_GBK"/>
                <w:spacing w:val="-20"/>
                <w:sz w:val="24"/>
                <w:lang w:val="en-US" w:eastAsia="zh-CN" w:bidi="ar"/>
              </w:rPr>
              <w:t>市、区</w:t>
            </w:r>
            <w:r>
              <w:rPr>
                <w:rStyle w:val="4"/>
                <w:rFonts w:hint="eastAsia" w:ascii="方正黑体_GBK" w:hAnsi="方正黑体_GBK" w:eastAsia="方正黑体_GBK" w:cs="方正黑体_GBK"/>
                <w:spacing w:val="-20"/>
                <w:sz w:val="24"/>
                <w:lang w:val="en-US" w:eastAsia="zh-CN" w:bidi="ar"/>
              </w:rPr>
              <w:t>)</w:t>
            </w:r>
          </w:p>
          <w:p w14:paraId="6341DF0A">
            <w:pPr>
              <w:keepNext w:val="0"/>
              <w:keepLines w:val="0"/>
              <w:pageBreakBefore w:val="0"/>
              <w:widowControl/>
              <w:suppressLineNumbers w:val="0"/>
              <w:kinsoku/>
              <w:wordWrap/>
              <w:overflowPunct/>
              <w:topLinePunct w:val="0"/>
              <w:autoSpaceDE/>
              <w:autoSpaceDN/>
              <w:bidi w:val="0"/>
              <w:adjustRightInd/>
              <w:snapToGrid/>
              <w:spacing w:line="260" w:lineRule="exact"/>
              <w:ind w:left="-210" w:leftChars="-100" w:right="-210" w:rightChars="-100"/>
              <w:jc w:val="center"/>
              <w:textAlignment w:val="center"/>
              <w:rPr>
                <w:rFonts w:hint="eastAsia" w:ascii="方正黑体_GBK" w:hAnsi="方正黑体_GBK" w:eastAsia="方正黑体_GBK" w:cs="方正黑体_GBK"/>
                <w:i w:val="0"/>
                <w:iCs w:val="0"/>
                <w:color w:val="000000"/>
                <w:sz w:val="24"/>
                <w:szCs w:val="24"/>
                <w:u w:val="none"/>
              </w:rPr>
            </w:pPr>
            <w:r>
              <w:rPr>
                <w:rStyle w:val="5"/>
                <w:rFonts w:hint="eastAsia" w:ascii="方正黑体_GBK" w:hAnsi="方正黑体_GBK" w:eastAsia="方正黑体_GBK" w:cs="方正黑体_GBK"/>
                <w:lang w:val="en-US" w:eastAsia="zh-CN" w:bidi="ar"/>
              </w:rPr>
              <w:t>配套资金</w:t>
            </w:r>
          </w:p>
        </w:tc>
        <w:tc>
          <w:tcPr>
            <w:tcW w:w="997" w:type="dxa"/>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14:paraId="114B51F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sz w:val="24"/>
                <w:szCs w:val="24"/>
                <w:u w:val="none"/>
              </w:rPr>
            </w:pPr>
          </w:p>
        </w:tc>
      </w:tr>
      <w:tr w14:paraId="26A0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383" w:type="dxa"/>
            <w:gridSpan w:val="3"/>
            <w:tcBorders>
              <w:top w:val="single" w:color="000000" w:sz="4" w:space="0"/>
              <w:left w:val="double" w:color="000000" w:sz="4" w:space="0"/>
              <w:bottom w:val="double" w:color="000000" w:sz="4" w:space="0"/>
              <w:right w:val="single" w:color="000000" w:sz="4" w:space="0"/>
            </w:tcBorders>
            <w:shd w:val="clear" w:color="auto" w:fill="auto"/>
            <w:noWrap/>
            <w:vAlign w:val="center"/>
          </w:tcPr>
          <w:p w14:paraId="7D80C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全市合</w:t>
            </w:r>
            <w:bookmarkStart w:id="0" w:name="_GoBack"/>
            <w:bookmarkEnd w:id="0"/>
            <w:r>
              <w:rPr>
                <w:rFonts w:hint="eastAsia" w:ascii="方正楷体_GBK" w:hAnsi="方正楷体_GBK" w:eastAsia="方正楷体_GBK" w:cs="方正楷体_GBK"/>
                <w:b/>
                <w:bCs/>
                <w:i w:val="0"/>
                <w:iCs w:val="0"/>
                <w:color w:val="000000"/>
                <w:kern w:val="0"/>
                <w:sz w:val="24"/>
                <w:szCs w:val="24"/>
                <w:u w:val="none"/>
                <w:lang w:val="en-US" w:eastAsia="zh-CN" w:bidi="ar"/>
              </w:rPr>
              <w:t>计</w:t>
            </w:r>
          </w:p>
        </w:tc>
        <w:tc>
          <w:tcPr>
            <w:tcW w:w="972" w:type="dxa"/>
            <w:tcBorders>
              <w:top w:val="single" w:color="000000" w:sz="4" w:space="0"/>
              <w:left w:val="single" w:color="000000" w:sz="4" w:space="0"/>
              <w:bottom w:val="double" w:color="000000" w:sz="4" w:space="0"/>
              <w:right w:val="single" w:color="000000" w:sz="4" w:space="0"/>
            </w:tcBorders>
            <w:shd w:val="clear" w:color="auto" w:fill="auto"/>
            <w:vAlign w:val="center"/>
          </w:tcPr>
          <w:p w14:paraId="1C961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color w:val="000000"/>
                <w:kern w:val="0"/>
                <w:sz w:val="24"/>
                <w:szCs w:val="24"/>
                <w:u w:val="none"/>
                <w:lang w:val="en-US" w:eastAsia="zh-CN" w:bidi="ar"/>
              </w:rPr>
              <w:t>125</w:t>
            </w:r>
          </w:p>
        </w:tc>
        <w:tc>
          <w:tcPr>
            <w:tcW w:w="983" w:type="dxa"/>
            <w:tcBorders>
              <w:top w:val="single" w:color="000000" w:sz="4" w:space="0"/>
              <w:left w:val="single" w:color="000000" w:sz="4" w:space="0"/>
              <w:bottom w:val="double" w:color="000000" w:sz="4" w:space="0"/>
              <w:right w:val="single" w:color="000000" w:sz="4" w:space="0"/>
            </w:tcBorders>
            <w:shd w:val="clear" w:color="auto" w:fill="auto"/>
            <w:vAlign w:val="center"/>
          </w:tcPr>
          <w:p w14:paraId="5C557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color w:val="000000"/>
                <w:kern w:val="0"/>
                <w:sz w:val="24"/>
                <w:szCs w:val="24"/>
                <w:u w:val="none"/>
                <w:lang w:val="en-US" w:eastAsia="zh-CN" w:bidi="ar"/>
              </w:rPr>
              <w:t>106.9</w:t>
            </w:r>
          </w:p>
        </w:tc>
        <w:tc>
          <w:tcPr>
            <w:tcW w:w="1087" w:type="dxa"/>
            <w:tcBorders>
              <w:top w:val="single" w:color="000000" w:sz="4" w:space="0"/>
              <w:left w:val="single" w:color="000000" w:sz="4" w:space="0"/>
              <w:bottom w:val="double" w:color="000000" w:sz="4" w:space="0"/>
              <w:right w:val="single" w:color="000000" w:sz="4" w:space="0"/>
            </w:tcBorders>
            <w:shd w:val="clear" w:color="auto" w:fill="auto"/>
            <w:vAlign w:val="center"/>
          </w:tcPr>
          <w:p w14:paraId="2A73D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color w:val="000000"/>
                <w:kern w:val="0"/>
                <w:sz w:val="24"/>
                <w:szCs w:val="24"/>
                <w:u w:val="none"/>
                <w:lang w:val="en-US" w:eastAsia="zh-CN" w:bidi="ar"/>
              </w:rPr>
              <w:t>18.1</w:t>
            </w:r>
          </w:p>
        </w:tc>
        <w:tc>
          <w:tcPr>
            <w:tcW w:w="997" w:type="dxa"/>
            <w:tcBorders>
              <w:top w:val="single" w:color="000000" w:sz="4" w:space="0"/>
              <w:left w:val="single" w:color="000000" w:sz="4" w:space="0"/>
              <w:bottom w:val="double" w:color="000000" w:sz="4" w:space="0"/>
              <w:right w:val="double" w:color="000000" w:sz="4" w:space="0"/>
            </w:tcBorders>
            <w:shd w:val="clear" w:color="auto" w:fill="auto"/>
            <w:vAlign w:val="center"/>
          </w:tcPr>
          <w:p w14:paraId="212B0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color w:val="000000"/>
                <w:kern w:val="0"/>
                <w:sz w:val="24"/>
                <w:szCs w:val="24"/>
                <w:u w:val="none"/>
                <w:lang w:val="en-US" w:eastAsia="zh-CN" w:bidi="ar"/>
              </w:rPr>
              <w:t>-</w:t>
            </w:r>
          </w:p>
        </w:tc>
      </w:tr>
      <w:tr w14:paraId="3340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383" w:type="dxa"/>
            <w:gridSpan w:val="3"/>
            <w:tcBorders>
              <w:top w:val="double" w:color="000000" w:sz="4" w:space="0"/>
              <w:left w:val="double" w:color="000000" w:sz="4" w:space="0"/>
              <w:bottom w:val="single" w:color="000000" w:sz="4" w:space="0"/>
              <w:right w:val="single" w:color="000000" w:sz="4" w:space="0"/>
            </w:tcBorders>
            <w:shd w:val="clear" w:color="auto" w:fill="auto"/>
            <w:noWrap/>
            <w:vAlign w:val="center"/>
          </w:tcPr>
          <w:p w14:paraId="69F0F6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一类项目</w:t>
            </w:r>
          </w:p>
        </w:tc>
        <w:tc>
          <w:tcPr>
            <w:tcW w:w="972" w:type="dxa"/>
            <w:tcBorders>
              <w:top w:val="double" w:color="000000" w:sz="4" w:space="0"/>
              <w:left w:val="single" w:color="000000" w:sz="4" w:space="0"/>
              <w:bottom w:val="single" w:color="000000" w:sz="4" w:space="0"/>
              <w:right w:val="single" w:color="000000" w:sz="4" w:space="0"/>
            </w:tcBorders>
            <w:shd w:val="clear" w:color="auto" w:fill="auto"/>
            <w:vAlign w:val="center"/>
          </w:tcPr>
          <w:p w14:paraId="624EA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983" w:type="dxa"/>
            <w:tcBorders>
              <w:top w:val="double" w:color="000000" w:sz="4" w:space="0"/>
              <w:left w:val="single" w:color="000000" w:sz="4" w:space="0"/>
              <w:bottom w:val="single" w:color="000000" w:sz="4" w:space="0"/>
              <w:right w:val="single" w:color="000000" w:sz="4" w:space="0"/>
            </w:tcBorders>
            <w:shd w:val="clear" w:color="auto" w:fill="auto"/>
            <w:vAlign w:val="center"/>
          </w:tcPr>
          <w:p w14:paraId="02E19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43.3</w:t>
            </w:r>
          </w:p>
        </w:tc>
        <w:tc>
          <w:tcPr>
            <w:tcW w:w="1087" w:type="dxa"/>
            <w:tcBorders>
              <w:top w:val="double" w:color="000000" w:sz="4" w:space="0"/>
              <w:left w:val="single" w:color="000000" w:sz="4" w:space="0"/>
              <w:bottom w:val="single" w:color="000000" w:sz="4" w:space="0"/>
              <w:right w:val="single" w:color="000000" w:sz="4" w:space="0"/>
            </w:tcBorders>
            <w:shd w:val="clear" w:color="auto" w:fill="auto"/>
            <w:vAlign w:val="center"/>
          </w:tcPr>
          <w:p w14:paraId="59DBB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997" w:type="dxa"/>
            <w:tcBorders>
              <w:top w:val="double" w:color="000000" w:sz="4" w:space="0"/>
              <w:left w:val="single" w:color="000000" w:sz="4" w:space="0"/>
              <w:bottom w:val="single" w:color="000000" w:sz="4" w:space="0"/>
              <w:right w:val="double" w:color="000000" w:sz="4" w:space="0"/>
            </w:tcBorders>
            <w:shd w:val="clear" w:color="auto" w:fill="auto"/>
            <w:vAlign w:val="center"/>
          </w:tcPr>
          <w:p w14:paraId="65A8B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14:paraId="7522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7D44A1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5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基于道地性理论体系的广陈皮标准研究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7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江门市药品检验所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B5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7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0FE0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DE5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3FAF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0227">
            <w:pPr>
              <w:keepNext w:val="0"/>
              <w:keepLines w:val="0"/>
              <w:pageBreakBefore w:val="0"/>
              <w:widowControl/>
              <w:suppressLineNumbers w:val="0"/>
              <w:tabs>
                <w:tab w:val="left" w:pos="3360"/>
              </w:tabs>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基于细胞膜色谱和网络药理学技术</w:t>
            </w:r>
          </w:p>
          <w:p w14:paraId="5408E087">
            <w:pPr>
              <w:keepNext w:val="0"/>
              <w:keepLines w:val="0"/>
              <w:pageBreakBefore w:val="0"/>
              <w:widowControl/>
              <w:suppressLineNumbers w:val="0"/>
              <w:tabs>
                <w:tab w:val="left" w:pos="3360"/>
              </w:tabs>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筛选发现新会陈皮生物活性成分</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江门市大健康国际创新研究院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4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2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99C1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江海区</w:t>
            </w:r>
          </w:p>
        </w:tc>
      </w:tr>
      <w:tr w14:paraId="3BF4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45777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基于多时序</w:t>
            </w:r>
            <w:r>
              <w:rPr>
                <w:rStyle w:val="4"/>
                <w:rFonts w:eastAsia="方正仿宋_GBK"/>
                <w:lang w:val="en-US" w:eastAsia="zh-CN" w:bidi="ar"/>
              </w:rPr>
              <w:t>CT</w:t>
            </w:r>
            <w:r>
              <w:rPr>
                <w:rStyle w:val="6"/>
                <w:lang w:val="en-US" w:eastAsia="zh-CN" w:bidi="ar"/>
              </w:rPr>
              <w:t>影像与临床文本信息的多模态深度学习模型动态预测慢性乙肝人群肝癌发生风险的研究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0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C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A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1154C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5DB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26F38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6B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基于多模态深度学习的子宫内膜癌整合分析及辅助诊疗系统开发</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0B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2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4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C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1E8C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EC6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double" w:color="000000" w:sz="4" w:space="0"/>
              <w:right w:val="single" w:color="000000" w:sz="4" w:space="0"/>
            </w:tcBorders>
            <w:shd w:val="clear" w:color="auto" w:fill="auto"/>
            <w:vAlign w:val="center"/>
          </w:tcPr>
          <w:p w14:paraId="4A9F4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688" w:type="dxa"/>
            <w:tcBorders>
              <w:top w:val="single" w:color="000000" w:sz="4" w:space="0"/>
              <w:left w:val="single" w:color="000000" w:sz="4" w:space="0"/>
              <w:bottom w:val="double" w:color="000000" w:sz="4" w:space="0"/>
              <w:right w:val="single" w:color="000000" w:sz="4" w:space="0"/>
            </w:tcBorders>
            <w:shd w:val="clear" w:color="auto" w:fill="auto"/>
            <w:vAlign w:val="center"/>
          </w:tcPr>
          <w:p w14:paraId="32F47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新型硅</w:t>
            </w:r>
            <w:r>
              <w:rPr>
                <w:rStyle w:val="4"/>
                <w:rFonts w:eastAsia="方正仿宋_GBK"/>
                <w:lang w:val="en-US" w:eastAsia="zh-CN" w:bidi="ar"/>
              </w:rPr>
              <w:t>-</w:t>
            </w:r>
            <w:r>
              <w:rPr>
                <w:rStyle w:val="6"/>
                <w:lang w:val="en-US" w:eastAsia="zh-CN" w:bidi="ar"/>
              </w:rPr>
              <w:t>丙烯酸酯树脂关键技术的开发及其在高性能防水涂料中的应用研究</w:t>
            </w:r>
          </w:p>
        </w:tc>
        <w:tc>
          <w:tcPr>
            <w:tcW w:w="2185" w:type="dxa"/>
            <w:tcBorders>
              <w:top w:val="single" w:color="000000" w:sz="4" w:space="0"/>
              <w:left w:val="single" w:color="000000" w:sz="4" w:space="0"/>
              <w:bottom w:val="double" w:color="000000" w:sz="4" w:space="0"/>
              <w:right w:val="single" w:color="000000" w:sz="4" w:space="0"/>
            </w:tcBorders>
            <w:shd w:val="clear" w:color="auto" w:fill="auto"/>
            <w:vAlign w:val="center"/>
          </w:tcPr>
          <w:p w14:paraId="6B518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五邑大学</w:t>
            </w:r>
          </w:p>
        </w:tc>
        <w:tc>
          <w:tcPr>
            <w:tcW w:w="972" w:type="dxa"/>
            <w:tcBorders>
              <w:top w:val="single" w:color="000000" w:sz="4" w:space="0"/>
              <w:left w:val="single" w:color="000000" w:sz="4" w:space="0"/>
              <w:bottom w:val="double" w:color="000000" w:sz="4" w:space="0"/>
              <w:right w:val="single" w:color="000000" w:sz="4" w:space="0"/>
            </w:tcBorders>
            <w:shd w:val="clear" w:color="auto" w:fill="auto"/>
            <w:vAlign w:val="center"/>
          </w:tcPr>
          <w:p w14:paraId="24BEB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83" w:type="dxa"/>
            <w:tcBorders>
              <w:top w:val="single" w:color="000000" w:sz="4" w:space="0"/>
              <w:left w:val="single" w:color="000000" w:sz="4" w:space="0"/>
              <w:bottom w:val="double" w:color="000000" w:sz="4" w:space="0"/>
              <w:right w:val="single" w:color="000000" w:sz="4" w:space="0"/>
            </w:tcBorders>
            <w:shd w:val="clear" w:color="auto" w:fill="auto"/>
            <w:noWrap/>
            <w:vAlign w:val="center"/>
          </w:tcPr>
          <w:p w14:paraId="18AD25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87" w:type="dxa"/>
            <w:tcBorders>
              <w:top w:val="single" w:color="000000" w:sz="4" w:space="0"/>
              <w:left w:val="single" w:color="000000" w:sz="4" w:space="0"/>
              <w:bottom w:val="double" w:color="000000" w:sz="4" w:space="0"/>
              <w:right w:val="single" w:color="000000" w:sz="4" w:space="0"/>
            </w:tcBorders>
            <w:shd w:val="clear" w:color="auto" w:fill="auto"/>
            <w:noWrap/>
            <w:vAlign w:val="center"/>
          </w:tcPr>
          <w:p w14:paraId="3C5BA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double" w:color="000000" w:sz="4" w:space="0"/>
              <w:right w:val="double" w:color="000000" w:sz="4" w:space="0"/>
            </w:tcBorders>
            <w:shd w:val="clear" w:color="auto" w:fill="auto"/>
            <w:vAlign w:val="center"/>
          </w:tcPr>
          <w:p w14:paraId="215B48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2678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383" w:type="dxa"/>
            <w:gridSpan w:val="3"/>
            <w:tcBorders>
              <w:top w:val="double" w:color="000000" w:sz="4" w:space="0"/>
              <w:left w:val="double" w:color="000000" w:sz="4" w:space="0"/>
              <w:bottom w:val="single" w:color="000000" w:sz="4" w:space="0"/>
              <w:right w:val="single" w:color="000000" w:sz="4" w:space="0"/>
            </w:tcBorders>
            <w:shd w:val="clear" w:color="auto" w:fill="auto"/>
            <w:vAlign w:val="center"/>
          </w:tcPr>
          <w:p w14:paraId="05562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二类项目</w:t>
            </w:r>
          </w:p>
        </w:tc>
        <w:tc>
          <w:tcPr>
            <w:tcW w:w="972" w:type="dxa"/>
            <w:tcBorders>
              <w:top w:val="double" w:color="000000" w:sz="4" w:space="0"/>
              <w:left w:val="single" w:color="000000" w:sz="4" w:space="0"/>
              <w:bottom w:val="single" w:color="000000" w:sz="4" w:space="0"/>
              <w:right w:val="single" w:color="000000" w:sz="4" w:space="0"/>
            </w:tcBorders>
            <w:shd w:val="clear" w:color="auto" w:fill="auto"/>
            <w:vAlign w:val="center"/>
          </w:tcPr>
          <w:p w14:paraId="0B20E5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983" w:type="dxa"/>
            <w:tcBorders>
              <w:top w:val="double" w:color="000000" w:sz="4" w:space="0"/>
              <w:left w:val="single" w:color="000000" w:sz="4" w:space="0"/>
              <w:bottom w:val="single" w:color="000000" w:sz="4" w:space="0"/>
              <w:right w:val="single" w:color="000000" w:sz="4" w:space="0"/>
            </w:tcBorders>
            <w:shd w:val="clear" w:color="auto" w:fill="auto"/>
            <w:vAlign w:val="center"/>
          </w:tcPr>
          <w:p w14:paraId="6B4CF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63.6</w:t>
            </w:r>
          </w:p>
        </w:tc>
        <w:tc>
          <w:tcPr>
            <w:tcW w:w="1087" w:type="dxa"/>
            <w:tcBorders>
              <w:top w:val="double" w:color="000000" w:sz="4" w:space="0"/>
              <w:left w:val="single" w:color="000000" w:sz="4" w:space="0"/>
              <w:bottom w:val="single" w:color="000000" w:sz="4" w:space="0"/>
              <w:right w:val="single" w:color="000000" w:sz="4" w:space="0"/>
            </w:tcBorders>
            <w:shd w:val="clear" w:color="auto" w:fill="auto"/>
            <w:vAlign w:val="center"/>
          </w:tcPr>
          <w:p w14:paraId="61E1FE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997" w:type="dxa"/>
            <w:tcBorders>
              <w:top w:val="double" w:color="000000" w:sz="4" w:space="0"/>
              <w:left w:val="single" w:color="000000" w:sz="4" w:space="0"/>
              <w:bottom w:val="single" w:color="000000" w:sz="4" w:space="0"/>
              <w:right w:val="double" w:color="000000" w:sz="4" w:space="0"/>
            </w:tcBorders>
            <w:shd w:val="clear" w:color="auto" w:fill="auto"/>
            <w:vAlign w:val="center"/>
          </w:tcPr>
          <w:p w14:paraId="6AFA5F9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r>
      <w:tr w14:paraId="775C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5A48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8FC">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Style w:val="4"/>
                <w:rFonts w:eastAsia="方正仿宋_GBK"/>
                <w:lang w:val="en-US" w:eastAsia="zh-CN" w:bidi="ar"/>
              </w:rPr>
            </w:pPr>
            <w:r>
              <w:rPr>
                <w:rStyle w:val="6"/>
                <w:lang w:val="en-US" w:eastAsia="zh-CN" w:bidi="ar"/>
              </w:rPr>
              <w:t>基于微流控技术的</w:t>
            </w:r>
            <w:r>
              <w:rPr>
                <w:rStyle w:val="4"/>
                <w:rFonts w:eastAsia="方正仿宋_GBK"/>
                <w:lang w:val="en-US" w:eastAsia="zh-CN" w:bidi="ar"/>
              </w:rPr>
              <w:t>hsa-miR-223-3p</w:t>
            </w:r>
          </w:p>
          <w:p w14:paraId="4896EC1A">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Style w:val="6"/>
                <w:lang w:val="en-US" w:eastAsia="zh-CN" w:bidi="ar"/>
              </w:rPr>
            </w:pPr>
            <w:r>
              <w:rPr>
                <w:rStyle w:val="6"/>
                <w:lang w:val="en-US" w:eastAsia="zh-CN" w:bidi="ar"/>
              </w:rPr>
              <w:t>调控</w:t>
            </w:r>
            <w:r>
              <w:rPr>
                <w:rStyle w:val="4"/>
                <w:rFonts w:eastAsia="方正仿宋_GBK"/>
                <w:lang w:val="en-US" w:eastAsia="zh-CN" w:bidi="ar"/>
              </w:rPr>
              <w:t>NLRP3/GSDMD</w:t>
            </w:r>
            <w:r>
              <w:rPr>
                <w:rStyle w:val="6"/>
                <w:lang w:val="en-US" w:eastAsia="zh-CN" w:bidi="ar"/>
              </w:rPr>
              <w:t>通路减轻心</w:t>
            </w:r>
          </w:p>
          <w:p w14:paraId="65C7872E">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肌缺血再灌注损伤的机制研究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7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39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BFA2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2D2E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E1ED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721">
            <w:pPr>
              <w:keepNext w:val="0"/>
              <w:keepLines w:val="0"/>
              <w:pageBreakBefore w:val="0"/>
              <w:widowControl/>
              <w:suppressLineNumbers w:val="0"/>
              <w:kinsoku/>
              <w:wordWrap/>
              <w:overflowPunct/>
              <w:topLinePunct w:val="0"/>
              <w:autoSpaceDE/>
              <w:autoSpaceDN/>
              <w:bidi w:val="0"/>
              <w:adjustRightInd/>
              <w:snapToGrid/>
              <w:spacing w:line="300" w:lineRule="exact"/>
              <w:ind w:left="-199" w:leftChars="-95" w:right="-208" w:rightChars="-99" w:firstLine="0" w:firstLineChars="0"/>
              <w:jc w:val="center"/>
              <w:textAlignment w:val="center"/>
              <w:rPr>
                <w:rStyle w:val="6"/>
                <w:lang w:val="en-US" w:eastAsia="zh-CN" w:bidi="ar"/>
              </w:rPr>
            </w:pPr>
            <w:r>
              <w:rPr>
                <w:rStyle w:val="6"/>
                <w:lang w:val="en-US" w:eastAsia="zh-CN" w:bidi="ar"/>
              </w:rPr>
              <w:t>基于嗅觉及</w:t>
            </w:r>
            <w:r>
              <w:rPr>
                <w:rStyle w:val="4"/>
                <w:rFonts w:eastAsia="方正仿宋_GBK"/>
                <w:lang w:val="en-US" w:eastAsia="zh-CN" w:bidi="ar"/>
              </w:rPr>
              <w:t>S1P</w:t>
            </w:r>
            <w:r>
              <w:rPr>
                <w:rStyle w:val="6"/>
                <w:lang w:val="en-US" w:eastAsia="zh-CN" w:bidi="ar"/>
              </w:rPr>
              <w:t>信号通路调控</w:t>
            </w:r>
            <w:r>
              <w:rPr>
                <w:rStyle w:val="4"/>
                <w:rFonts w:eastAsia="方正仿宋_GBK"/>
                <w:lang w:val="en-US" w:eastAsia="zh-CN" w:bidi="ar"/>
              </w:rPr>
              <w:t>A</w:t>
            </w:r>
            <w:r>
              <w:rPr>
                <w:rStyle w:val="6"/>
                <w:lang w:val="en-US" w:eastAsia="zh-CN" w:bidi="ar"/>
              </w:rPr>
              <w:t>β</w:t>
            </w:r>
          </w:p>
          <w:p w14:paraId="0BB9F1B7">
            <w:pPr>
              <w:keepNext w:val="0"/>
              <w:keepLines w:val="0"/>
              <w:pageBreakBefore w:val="0"/>
              <w:widowControl/>
              <w:suppressLineNumbers w:val="0"/>
              <w:kinsoku/>
              <w:wordWrap/>
              <w:overflowPunct/>
              <w:topLinePunct w:val="0"/>
              <w:autoSpaceDE/>
              <w:autoSpaceDN/>
              <w:bidi w:val="0"/>
              <w:adjustRightInd/>
              <w:snapToGrid/>
              <w:spacing w:line="300" w:lineRule="exact"/>
              <w:ind w:left="-199" w:leftChars="-95" w:right="-208" w:rightChars="-99"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沉积探讨陈皮治疗</w:t>
            </w:r>
            <w:r>
              <w:rPr>
                <w:rStyle w:val="4"/>
                <w:rFonts w:eastAsia="方正仿宋_GBK"/>
                <w:lang w:val="en-US" w:eastAsia="zh-CN" w:bidi="ar"/>
              </w:rPr>
              <w:t>AD</w:t>
            </w:r>
            <w:r>
              <w:rPr>
                <w:rStyle w:val="6"/>
                <w:lang w:val="en-US" w:eastAsia="zh-CN" w:bidi="ar"/>
              </w:rPr>
              <w:t>作用机制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D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江门市五邑中医院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5E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08BBA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601A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62812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EA13">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基于抗菌多肽有序取向排列多功能</w:t>
            </w:r>
          </w:p>
          <w:p w14:paraId="1BE6A93B">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医用补片的构筑及其抗菌机制研究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五邑大学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4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B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7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4E593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B69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E1B8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44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4"/>
                <w:rFonts w:eastAsia="宋体"/>
                <w:lang w:val="en-US" w:eastAsia="zh-CN" w:bidi="ar"/>
              </w:rPr>
              <w:t>ATRAP</w:t>
            </w:r>
            <w:r>
              <w:rPr>
                <w:rStyle w:val="6"/>
                <w:lang w:val="en-US" w:eastAsia="zh-CN" w:bidi="ar"/>
              </w:rPr>
              <w:t>乳酸化修饰调控结直肠癌干细胞干性作用及机制研究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江门市人民医院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4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2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35259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3843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29097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890">
            <w:pPr>
              <w:keepNext w:val="0"/>
              <w:keepLines w:val="0"/>
              <w:pageBreakBefore w:val="0"/>
              <w:widowControl/>
              <w:suppressLineNumbers w:val="0"/>
              <w:kinsoku/>
              <w:wordWrap/>
              <w:overflowPunct/>
              <w:topLinePunct w:val="0"/>
              <w:autoSpaceDE/>
              <w:autoSpaceDN/>
              <w:bidi w:val="0"/>
              <w:adjustRightInd/>
              <w:snapToGrid/>
              <w:spacing w:line="300" w:lineRule="exact"/>
              <w:ind w:left="-199" w:leftChars="-95" w:right="-208" w:rightChars="-99" w:firstLine="0" w:firstLineChars="0"/>
              <w:jc w:val="center"/>
              <w:textAlignment w:val="center"/>
              <w:rPr>
                <w:rStyle w:val="6"/>
                <w:lang w:val="en-US" w:eastAsia="zh-CN" w:bidi="ar"/>
              </w:rPr>
            </w:pPr>
            <w:r>
              <w:rPr>
                <w:rStyle w:val="6"/>
                <w:lang w:val="en-US" w:eastAsia="zh-CN" w:bidi="ar"/>
              </w:rPr>
              <w:t>独活</w:t>
            </w:r>
            <w:r>
              <w:rPr>
                <w:rStyle w:val="4"/>
                <w:rFonts w:eastAsia="方正仿宋_GBK"/>
                <w:lang w:val="en-US" w:eastAsia="zh-CN" w:bidi="ar"/>
              </w:rPr>
              <w:t>-</w:t>
            </w:r>
            <w:r>
              <w:rPr>
                <w:rStyle w:val="6"/>
                <w:lang w:val="en-US" w:eastAsia="zh-CN" w:bidi="ar"/>
              </w:rPr>
              <w:t>桑寄生药对对于肝肾亏虚型</w:t>
            </w:r>
          </w:p>
          <w:p w14:paraId="497BF8C5">
            <w:pPr>
              <w:keepNext w:val="0"/>
              <w:keepLines w:val="0"/>
              <w:pageBreakBefore w:val="0"/>
              <w:widowControl/>
              <w:suppressLineNumbers w:val="0"/>
              <w:kinsoku/>
              <w:wordWrap/>
              <w:overflowPunct/>
              <w:topLinePunct w:val="0"/>
              <w:autoSpaceDE/>
              <w:autoSpaceDN/>
              <w:bidi w:val="0"/>
              <w:adjustRightInd/>
              <w:snapToGrid/>
              <w:spacing w:line="300" w:lineRule="exact"/>
              <w:ind w:left="-199" w:leftChars="-95" w:right="-208" w:rightChars="-99"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膝骨关节炎大鼠内血液及尿液中</w:t>
            </w:r>
            <w:r>
              <w:rPr>
                <w:rStyle w:val="4"/>
                <w:rFonts w:eastAsia="方正仿宋_GBK"/>
                <w:lang w:val="en-US" w:eastAsia="zh-CN" w:bidi="ar"/>
              </w:rPr>
              <w:t>COMP</w:t>
            </w:r>
            <w:r>
              <w:rPr>
                <w:rStyle w:val="6"/>
                <w:lang w:val="en-US" w:eastAsia="zh-CN" w:bidi="ar"/>
              </w:rPr>
              <w:t>和</w:t>
            </w:r>
            <w:r>
              <w:rPr>
                <w:rStyle w:val="4"/>
                <w:rFonts w:eastAsia="方正仿宋_GBK"/>
                <w:lang w:val="en-US" w:eastAsia="zh-CN" w:bidi="ar"/>
              </w:rPr>
              <w:t>CTX-</w:t>
            </w:r>
            <w:r>
              <w:rPr>
                <w:rStyle w:val="6"/>
                <w:lang w:val="en-US" w:eastAsia="zh-CN" w:bidi="ar"/>
              </w:rPr>
              <w:t>Ⅱ的作用机制研究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B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江门市五邑中医院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1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86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CF79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642D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7565A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C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Style w:val="6"/>
                <w:lang w:val="en-US" w:eastAsia="zh-CN" w:bidi="ar"/>
              </w:rPr>
              <w:t>基于</w:t>
            </w:r>
            <w:r>
              <w:rPr>
                <w:rStyle w:val="4"/>
                <w:rFonts w:eastAsia="方正仿宋_GBK"/>
                <w:lang w:val="en-US" w:eastAsia="zh-CN" w:bidi="ar"/>
              </w:rPr>
              <w:t>MRI</w:t>
            </w:r>
            <w:r>
              <w:rPr>
                <w:rStyle w:val="6"/>
                <w:lang w:val="en-US" w:eastAsia="zh-CN" w:bidi="ar"/>
              </w:rPr>
              <w:t>图像的生境分析预测乳腺癌</w:t>
            </w:r>
            <w:r>
              <w:rPr>
                <w:rStyle w:val="4"/>
                <w:rFonts w:eastAsia="方正仿宋_GBK"/>
                <w:lang w:val="en-US" w:eastAsia="zh-CN" w:bidi="ar"/>
              </w:rPr>
              <w:t>HER2</w:t>
            </w:r>
            <w:r>
              <w:rPr>
                <w:rStyle w:val="6"/>
                <w:lang w:val="en-US" w:eastAsia="zh-CN" w:bidi="ar"/>
              </w:rPr>
              <w:t>表达状态</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7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1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C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5B7EA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7EDB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BDFC2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9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4"/>
                <w:rFonts w:eastAsia="宋体"/>
                <w:lang w:val="en-US" w:eastAsia="zh-CN" w:bidi="ar"/>
              </w:rPr>
              <w:t>CXCL5</w:t>
            </w:r>
            <w:r>
              <w:rPr>
                <w:rStyle w:val="6"/>
                <w:lang w:val="en-US" w:eastAsia="zh-CN" w:bidi="ar"/>
              </w:rPr>
              <w:t>作为脑部术后认知功能障碍新型标志物及治疗靶点的临床前研究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44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6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CA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3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01F47E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6869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42B81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4"/>
                <w:rFonts w:eastAsia="宋体"/>
                <w:lang w:val="en-US" w:eastAsia="zh-CN" w:bidi="ar"/>
              </w:rPr>
              <w:t>UC-MSC</w:t>
            </w:r>
            <w:r>
              <w:rPr>
                <w:rStyle w:val="6"/>
                <w:lang w:val="en-US" w:eastAsia="zh-CN" w:bidi="ar"/>
              </w:rPr>
              <w:t>通过线粒体过继逆转</w:t>
            </w:r>
            <w:r>
              <w:rPr>
                <w:rStyle w:val="4"/>
                <w:rFonts w:eastAsia="宋体"/>
                <w:lang w:val="en-US" w:eastAsia="zh-CN" w:bidi="ar"/>
              </w:rPr>
              <w:t>COPD</w:t>
            </w:r>
            <w:r>
              <w:rPr>
                <w:rStyle w:val="6"/>
                <w:lang w:val="en-US" w:eastAsia="zh-CN" w:bidi="ar"/>
              </w:rPr>
              <w:t>中肺基底干细胞衰老的临床前研究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江门市中心医院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D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E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0EB364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C40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728B5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E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人工智能技术在轨道交通车辆制造智能寻点钻孔攻丝的应用研究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2E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中车广东轨道交通车辆有限公司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D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0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D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16E32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新会区</w:t>
            </w:r>
          </w:p>
        </w:tc>
      </w:tr>
      <w:tr w14:paraId="49B4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2DA3E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A4AF">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动车组大数据模型研究及数据治理</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中车广东轨道交通车辆有限公司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F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0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2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28907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新会区</w:t>
            </w:r>
          </w:p>
        </w:tc>
      </w:tr>
      <w:tr w14:paraId="4297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5F38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5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相变储能功能聚酰胺纤维技术开发与应用</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广东恒申美达新材料股份公司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D7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BB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07580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新会区</w:t>
            </w:r>
          </w:p>
        </w:tc>
      </w:tr>
      <w:tr w14:paraId="3B25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715BE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F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江门市儿童青少年心理危机预警、预防及干预体系的构建</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FC1">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right="-210" w:rightChars="-10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江门市第三人民医院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A6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06EB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5A4C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760F8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预制菜包装材料中高关注物质迁移规律及安全评估关键技术研究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7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江门海关技术中心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1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D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88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0F229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2416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10"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BCF2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1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4"/>
                <w:rFonts w:eastAsia="宋体"/>
                <w:lang w:val="en-US" w:eastAsia="zh-CN" w:bidi="ar"/>
              </w:rPr>
              <w:t>Wei-</w:t>
            </w:r>
            <w:r>
              <w:rPr>
                <w:rStyle w:val="6"/>
                <w:lang w:val="en-US" w:eastAsia="zh-CN" w:bidi="ar"/>
              </w:rPr>
              <w:t>因子</w:t>
            </w:r>
            <w:r>
              <w:rPr>
                <w:rStyle w:val="4"/>
                <w:rFonts w:eastAsia="宋体"/>
                <w:lang w:val="en-US" w:eastAsia="zh-CN" w:bidi="ar"/>
              </w:rPr>
              <w:t xml:space="preserve">-- </w:t>
            </w:r>
            <w:r>
              <w:rPr>
                <w:rStyle w:val="6"/>
                <w:lang w:val="en-US" w:eastAsia="zh-CN" w:bidi="ar"/>
              </w:rPr>
              <w:t>一种新型炎症标志物在肺部感染严重程度评估的研究</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69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江门市人民医院</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6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F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single" w:color="000000" w:sz="4" w:space="0"/>
              <w:right w:val="double" w:color="000000" w:sz="4" w:space="0"/>
            </w:tcBorders>
            <w:shd w:val="clear" w:color="auto" w:fill="auto"/>
            <w:vAlign w:val="center"/>
          </w:tcPr>
          <w:p w14:paraId="670C5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r w14:paraId="47A9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10" w:type="dxa"/>
            <w:tcBorders>
              <w:top w:val="single" w:color="000000" w:sz="4" w:space="0"/>
              <w:left w:val="double" w:color="000000" w:sz="4" w:space="0"/>
              <w:bottom w:val="double" w:color="000000" w:sz="4" w:space="0"/>
              <w:right w:val="single" w:color="000000" w:sz="4" w:space="0"/>
            </w:tcBorders>
            <w:shd w:val="clear" w:color="auto" w:fill="auto"/>
            <w:vAlign w:val="center"/>
          </w:tcPr>
          <w:p w14:paraId="09294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688" w:type="dxa"/>
            <w:tcBorders>
              <w:top w:val="single" w:color="000000" w:sz="4" w:space="0"/>
              <w:left w:val="single" w:color="000000" w:sz="4" w:space="0"/>
              <w:bottom w:val="double" w:color="000000" w:sz="4" w:space="0"/>
              <w:right w:val="single" w:color="000000" w:sz="4" w:space="0"/>
            </w:tcBorders>
            <w:shd w:val="clear" w:color="auto" w:fill="auto"/>
            <w:vAlign w:val="center"/>
          </w:tcPr>
          <w:p w14:paraId="2D2DB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纳米笼交联超薄阻燃聚合物电解质的原位构筑及其固态锂电池性能研究</w:t>
            </w:r>
          </w:p>
        </w:tc>
        <w:tc>
          <w:tcPr>
            <w:tcW w:w="2185" w:type="dxa"/>
            <w:tcBorders>
              <w:top w:val="single" w:color="000000" w:sz="4" w:space="0"/>
              <w:left w:val="single" w:color="000000" w:sz="4" w:space="0"/>
              <w:bottom w:val="double" w:color="000000" w:sz="4" w:space="0"/>
              <w:right w:val="single" w:color="000000" w:sz="4" w:space="0"/>
            </w:tcBorders>
            <w:shd w:val="clear" w:color="auto" w:fill="auto"/>
            <w:vAlign w:val="center"/>
          </w:tcPr>
          <w:p w14:paraId="5E0C5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五邑大学</w:t>
            </w:r>
          </w:p>
        </w:tc>
        <w:tc>
          <w:tcPr>
            <w:tcW w:w="972" w:type="dxa"/>
            <w:tcBorders>
              <w:top w:val="single" w:color="000000" w:sz="4" w:space="0"/>
              <w:left w:val="single" w:color="000000" w:sz="4" w:space="0"/>
              <w:bottom w:val="double" w:color="000000" w:sz="4" w:space="0"/>
              <w:right w:val="single" w:color="000000" w:sz="4" w:space="0"/>
            </w:tcBorders>
            <w:shd w:val="clear" w:color="auto" w:fill="auto"/>
            <w:vAlign w:val="center"/>
          </w:tcPr>
          <w:p w14:paraId="65378E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double" w:color="000000" w:sz="4" w:space="0"/>
              <w:right w:val="single" w:color="000000" w:sz="4" w:space="0"/>
            </w:tcBorders>
            <w:shd w:val="clear" w:color="auto" w:fill="auto"/>
            <w:noWrap/>
            <w:vAlign w:val="center"/>
          </w:tcPr>
          <w:p w14:paraId="78261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7" w:type="dxa"/>
            <w:tcBorders>
              <w:top w:val="single" w:color="000000" w:sz="4" w:space="0"/>
              <w:left w:val="single" w:color="000000" w:sz="4" w:space="0"/>
              <w:bottom w:val="double" w:color="000000" w:sz="4" w:space="0"/>
              <w:right w:val="single" w:color="000000" w:sz="4" w:space="0"/>
            </w:tcBorders>
            <w:shd w:val="clear" w:color="auto" w:fill="auto"/>
            <w:noWrap/>
            <w:vAlign w:val="center"/>
          </w:tcPr>
          <w:p w14:paraId="0EDD91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97" w:type="dxa"/>
            <w:tcBorders>
              <w:top w:val="single" w:color="000000" w:sz="4" w:space="0"/>
              <w:left w:val="single" w:color="000000" w:sz="4" w:space="0"/>
              <w:bottom w:val="double" w:color="000000" w:sz="4" w:space="0"/>
              <w:right w:val="double" w:color="000000" w:sz="4" w:space="0"/>
            </w:tcBorders>
            <w:shd w:val="clear" w:color="auto" w:fill="auto"/>
            <w:vAlign w:val="center"/>
          </w:tcPr>
          <w:p w14:paraId="549202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市直</w:t>
            </w:r>
          </w:p>
        </w:tc>
      </w:tr>
    </w:tbl>
    <w:p w14:paraId="39FA5A11"/>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2C82C8B1-1086-4251-B30E-3EE0AC91F14B}"/>
  </w:font>
  <w:font w:name="方正仿宋_GB2312">
    <w:altName w:val="仿宋"/>
    <w:panose1 w:val="02000000000000000000"/>
    <w:charset w:val="86"/>
    <w:family w:val="auto"/>
    <w:pitch w:val="default"/>
    <w:sig w:usb0="00000000" w:usb1="00000000"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2" w:fontKey="{0E723C8B-BEA4-44CD-91D3-F8A3288BF1FA}"/>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3" w:fontKey="{1C6BC552-6A8C-4797-B4C2-BADC24FDBC85}"/>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mIxMGI1MmQ1YjE5ZWJhYjE1YmJiNGJlOThhM2UifQ=="/>
  </w:docVars>
  <w:rsids>
    <w:rsidRoot w:val="77EC5A80"/>
    <w:rsid w:val="09C963D6"/>
    <w:rsid w:val="1B69772E"/>
    <w:rsid w:val="2D737CD4"/>
    <w:rsid w:val="438C22CB"/>
    <w:rsid w:val="6A1F449C"/>
    <w:rsid w:val="77EC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default" w:ascii="Times New Roman" w:hAnsi="Times New Roman" w:cs="Times New Roman"/>
      <w:color w:val="000000"/>
      <w:sz w:val="24"/>
      <w:szCs w:val="24"/>
      <w:u w:val="none"/>
    </w:rPr>
  </w:style>
  <w:style w:type="character" w:customStyle="1" w:styleId="5">
    <w:name w:val="font11"/>
    <w:basedOn w:val="3"/>
    <w:qFormat/>
    <w:uiPriority w:val="0"/>
    <w:rPr>
      <w:rFonts w:hint="eastAsia" w:ascii="方正黑体_GBK" w:hAnsi="方正黑体_GBK" w:eastAsia="方正黑体_GBK" w:cs="方正黑体_GBK"/>
      <w:color w:val="000000"/>
      <w:sz w:val="24"/>
      <w:szCs w:val="24"/>
      <w:u w:val="none"/>
    </w:rPr>
  </w:style>
  <w:style w:type="character" w:customStyle="1" w:styleId="6">
    <w:name w:val="font5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1076</Characters>
  <Lines>0</Lines>
  <Paragraphs>0</Paragraphs>
  <TotalTime>15</TotalTime>
  <ScaleCrop>false</ScaleCrop>
  <LinksUpToDate>false</LinksUpToDate>
  <CharactersWithSpaces>1077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2025-06-01T08:03:00Z</dcterms:created>
  <dc:creator>吴知豪</dc:creator>
  <cp:lastModifiedBy>崔文娟</cp:lastModifiedBy>
  <dcterms:modified xsi:type="dcterms:W3CDTF">2025-06-30T03:02:25Z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F3DF893213754FB18BC455A7A006BE00_11</vt:lpwstr>
  </property>
  <property fmtid="{D5CDD505-2E9C-101B-9397-08002B2CF9AE}" pid="4" name="KSOTemplateDocerSaveRecord">
    <vt:lpwstr>eyJoZGlkIjoiYWRmYzk5ZWM1ZDNlODFiNmI5YTBkY2NhNTgxMTdjMzUiLCJ1c2VySWQiOiIxNjc5Mjc1MjEyIn0=</vt:lpwstr>
  </property>
</Properties>
</file>