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彩虹小标宋" w:eastAsia="彩虹小标宋"/>
          <w:color w:val="auto"/>
          <w:sz w:val="36"/>
          <w:szCs w:val="44"/>
          <w:highlight w:val="none"/>
          <w:lang w:eastAsia="zh-CN"/>
        </w:rPr>
      </w:pPr>
      <w:r>
        <w:rPr>
          <w:rFonts w:hint="eastAsia" w:ascii="彩虹小标宋" w:eastAsia="彩虹小标宋"/>
          <w:color w:val="auto"/>
          <w:sz w:val="36"/>
          <w:szCs w:val="44"/>
          <w:highlight w:val="none"/>
        </w:rPr>
        <w:t>江门市市场监督管理局</w:t>
      </w:r>
    </w:p>
    <w:p>
      <w:pPr>
        <w:spacing w:line="560" w:lineRule="exact"/>
        <w:jc w:val="center"/>
        <w:rPr>
          <w:rFonts w:ascii="彩虹小标宋" w:eastAsia="彩虹小标宋"/>
          <w:color w:val="auto"/>
          <w:sz w:val="36"/>
          <w:szCs w:val="44"/>
          <w:highlight w:val="none"/>
        </w:rPr>
      </w:pPr>
      <w:r>
        <w:rPr>
          <w:rFonts w:hint="eastAsia" w:ascii="彩虹小标宋" w:eastAsia="彩虹小标宋"/>
          <w:color w:val="auto"/>
          <w:sz w:val="36"/>
          <w:szCs w:val="44"/>
          <w:highlight w:val="none"/>
        </w:rPr>
        <w:t>粤财普惠金融（江门）融资担保股份有限公司</w:t>
      </w:r>
    </w:p>
    <w:p>
      <w:pPr>
        <w:spacing w:line="560" w:lineRule="exact"/>
        <w:jc w:val="center"/>
        <w:rPr>
          <w:rFonts w:hint="eastAsia" w:ascii="彩虹小标宋" w:eastAsia="彩虹小标宋"/>
          <w:color w:val="auto"/>
          <w:sz w:val="36"/>
          <w:szCs w:val="44"/>
          <w:highlight w:val="none"/>
        </w:rPr>
      </w:pPr>
      <w:r>
        <w:rPr>
          <w:rFonts w:hint="eastAsia" w:ascii="彩虹小标宋" w:eastAsia="彩虹小标宋"/>
          <w:color w:val="auto"/>
          <w:sz w:val="36"/>
          <w:szCs w:val="44"/>
          <w:highlight w:val="none"/>
        </w:rPr>
        <w:t>“侨都质量贷”</w:t>
      </w:r>
      <w:r>
        <w:rPr>
          <w:rFonts w:hint="eastAsia" w:ascii="彩虹小标宋" w:eastAsia="彩虹小标宋"/>
          <w:color w:val="auto"/>
          <w:sz w:val="36"/>
          <w:szCs w:val="44"/>
          <w:highlight w:val="none"/>
          <w:lang w:eastAsia="zh-CN"/>
        </w:rPr>
        <w:t>金融服务系列之</w:t>
      </w:r>
      <w:r>
        <w:rPr>
          <w:rFonts w:hint="eastAsia" w:ascii="彩虹小标宋" w:eastAsia="彩虹小标宋"/>
          <w:color w:val="auto"/>
          <w:sz w:val="36"/>
          <w:szCs w:val="44"/>
          <w:highlight w:val="none"/>
        </w:rPr>
        <w:t>“</w:t>
      </w:r>
      <w:r>
        <w:rPr>
          <w:rFonts w:hint="eastAsia" w:ascii="彩虹小标宋" w:eastAsia="彩虹小标宋"/>
          <w:color w:val="auto"/>
          <w:sz w:val="36"/>
          <w:szCs w:val="44"/>
          <w:highlight w:val="none"/>
          <w:lang w:eastAsia="zh-CN"/>
        </w:rPr>
        <w:t>质量担</w:t>
      </w:r>
      <w:r>
        <w:rPr>
          <w:rFonts w:hint="eastAsia" w:ascii="彩虹小标宋" w:eastAsia="彩虹小标宋"/>
          <w:color w:val="auto"/>
          <w:sz w:val="36"/>
          <w:szCs w:val="44"/>
          <w:highlight w:val="none"/>
        </w:rPr>
        <w:t>”专属产品服务方案</w:t>
      </w:r>
    </w:p>
    <w:p>
      <w:pPr>
        <w:spacing w:line="560" w:lineRule="exact"/>
        <w:jc w:val="center"/>
        <w:rPr>
          <w:rFonts w:hint="default" w:ascii="彩虹小标宋" w:eastAsia="彩虹小标宋"/>
          <w:color w:val="auto"/>
          <w:sz w:val="36"/>
          <w:szCs w:val="44"/>
          <w:highlight w:val="none"/>
          <w:lang w:val="en-US" w:eastAsia="zh-CN"/>
        </w:rPr>
      </w:pPr>
      <w:r>
        <w:rPr>
          <w:rFonts w:hint="eastAsia" w:ascii="彩虹小标宋" w:eastAsia="彩虹小标宋"/>
          <w:color w:val="auto"/>
          <w:sz w:val="36"/>
          <w:szCs w:val="44"/>
          <w:highlight w:val="none"/>
          <w:lang w:eastAsia="zh-CN"/>
        </w:rPr>
        <w:t>（</w:t>
      </w:r>
      <w:r>
        <w:rPr>
          <w:rFonts w:hint="eastAsia" w:ascii="彩虹小标宋" w:eastAsia="彩虹小标宋"/>
          <w:color w:val="auto"/>
          <w:sz w:val="36"/>
          <w:szCs w:val="44"/>
          <w:highlight w:val="none"/>
          <w:lang w:val="en-US" w:eastAsia="zh-CN"/>
        </w:rPr>
        <w:t>白名单分类制</w:t>
      </w:r>
      <w:r>
        <w:rPr>
          <w:rFonts w:hint="eastAsia" w:ascii="彩虹小标宋" w:eastAsia="彩虹小标宋"/>
          <w:color w:val="auto"/>
          <w:sz w:val="36"/>
          <w:szCs w:val="44"/>
          <w:highlight w:val="none"/>
          <w:lang w:eastAsia="zh-CN"/>
        </w:rPr>
        <w:t>）</w:t>
      </w:r>
    </w:p>
    <w:p>
      <w:pPr>
        <w:spacing w:line="560" w:lineRule="exact"/>
        <w:jc w:val="center"/>
        <w:rPr>
          <w:rFonts w:ascii="彩虹小标宋" w:eastAsia="彩虹小标宋"/>
          <w:color w:val="auto"/>
          <w:sz w:val="44"/>
          <w:szCs w:val="44"/>
          <w:highlight w:val="none"/>
        </w:rPr>
      </w:pPr>
    </w:p>
    <w:p>
      <w:pPr>
        <w:ind w:firstLine="640" w:firstLineChars="200"/>
        <w:rPr>
          <w:rFonts w:hint="eastAsia" w:ascii="彩虹黑体" w:eastAsia="彩虹黑体"/>
          <w:b/>
          <w:bCs/>
          <w:color w:val="auto"/>
          <w:highlight w:val="none"/>
          <w:lang w:val="en-US" w:eastAsia="zh-CN"/>
        </w:rPr>
      </w:pPr>
      <w:r>
        <w:rPr>
          <w:rFonts w:hint="eastAsia" w:ascii="彩虹黑体" w:eastAsia="彩虹黑体"/>
          <w:b/>
          <w:bCs/>
          <w:color w:val="auto"/>
          <w:highlight w:val="none"/>
        </w:rPr>
        <w:t>一、方案制定目的和依据</w:t>
      </w:r>
      <w:r>
        <w:rPr>
          <w:rFonts w:hint="eastAsia" w:ascii="彩虹黑体" w:eastAsia="彩虹黑体"/>
          <w:b/>
          <w:bCs/>
          <w:color w:val="auto"/>
          <w:highlight w:val="none"/>
          <w:lang w:val="en-US" w:eastAsia="zh-CN"/>
        </w:rPr>
        <w:t xml:space="preserve"> </w:t>
      </w:r>
    </w:p>
    <w:p>
      <w:pPr>
        <w:ind w:firstLine="640" w:firstLineChars="200"/>
        <w:rPr>
          <w:rFonts w:ascii="彩虹黑体" w:eastAsia="彩虹黑体"/>
          <w:b/>
          <w:bCs/>
          <w:color w:val="auto"/>
          <w:highlight w:val="none"/>
        </w:rPr>
      </w:pPr>
      <w:r>
        <w:rPr>
          <w:rFonts w:hint="eastAsia"/>
          <w:color w:val="auto"/>
          <w:highlight w:val="none"/>
        </w:rPr>
        <w:t>为贯彻落实《质量强国建设纲要》《广东省质量强省建设纲要》《关于开展质量融资增信工作更好服务实体经济高质量发展的通知》《广东省市场监督管理局等四部门印发关于开展质量融资增信业务更好服务实体经济高质量发展若干政策措施的通知》等文件精神，充分发挥全省质量融资增信先行先试地区的优势，不断完善拓展</w:t>
      </w:r>
      <w:r>
        <w:rPr>
          <w:color w:val="auto"/>
          <w:highlight w:val="none"/>
          <w:lang w:val="zh-CN"/>
        </w:rPr>
        <w:t>质量融资增信</w:t>
      </w:r>
      <w:r>
        <w:rPr>
          <w:color w:val="auto"/>
          <w:highlight w:val="none"/>
        </w:rPr>
        <w:t>“产品化、普惠化、可量化、共担化”</w:t>
      </w:r>
      <w:r>
        <w:rPr>
          <w:rFonts w:hint="eastAsia"/>
          <w:color w:val="auto"/>
          <w:highlight w:val="none"/>
        </w:rPr>
        <w:t>江门</w:t>
      </w:r>
      <w:r>
        <w:rPr>
          <w:color w:val="auto"/>
          <w:highlight w:val="none"/>
        </w:rPr>
        <w:t>模式，</w:t>
      </w:r>
      <w:r>
        <w:rPr>
          <w:rFonts w:hint="eastAsia"/>
          <w:color w:val="auto"/>
          <w:highlight w:val="none"/>
        </w:rPr>
        <w:t>深入推进质量融资增信业务更好服务实体经济高质量发展，特制定“侨都质量贷”金融服务系列首个</w:t>
      </w:r>
      <w:r>
        <w:rPr>
          <w:rFonts w:hint="eastAsia"/>
          <w:color w:val="auto"/>
          <w:highlight w:val="none"/>
          <w:lang w:eastAsia="zh-CN"/>
        </w:rPr>
        <w:t>金融</w:t>
      </w:r>
      <w:r>
        <w:rPr>
          <w:rFonts w:hint="eastAsia"/>
          <w:color w:val="auto"/>
          <w:highlight w:val="none"/>
        </w:rPr>
        <w:t>担保产品，通过政府性融资担保体系的支持，推动新质生产力发展。</w:t>
      </w:r>
    </w:p>
    <w:p>
      <w:pPr>
        <w:ind w:firstLine="640" w:firstLineChars="200"/>
        <w:rPr>
          <w:rFonts w:ascii="彩虹黑体" w:eastAsia="彩虹黑体"/>
          <w:b/>
          <w:bCs/>
          <w:color w:val="auto"/>
          <w:highlight w:val="none"/>
        </w:rPr>
      </w:pPr>
    </w:p>
    <w:p>
      <w:pPr>
        <w:ind w:firstLine="640" w:firstLineChars="200"/>
        <w:rPr>
          <w:rFonts w:ascii="彩虹黑体" w:eastAsia="彩虹黑体"/>
          <w:b/>
          <w:bCs/>
          <w:color w:val="auto"/>
          <w:highlight w:val="none"/>
        </w:rPr>
      </w:pPr>
      <w:r>
        <w:rPr>
          <w:rFonts w:ascii="彩虹黑体" w:eastAsia="彩虹黑体"/>
          <w:b/>
          <w:bCs/>
          <w:color w:val="auto"/>
          <w:highlight w:val="none"/>
        </w:rPr>
        <w:t>二</w:t>
      </w:r>
      <w:r>
        <w:rPr>
          <w:rFonts w:hint="eastAsia" w:ascii="彩虹黑体" w:eastAsia="彩虹黑体"/>
          <w:b/>
          <w:bCs/>
          <w:color w:val="auto"/>
          <w:highlight w:val="none"/>
        </w:rPr>
        <w:t>、专属服务对象</w:t>
      </w:r>
    </w:p>
    <w:p>
      <w:pPr>
        <w:ind w:firstLine="640" w:firstLineChars="200"/>
        <w:rPr>
          <w:rFonts w:hint="default"/>
          <w:color w:val="auto"/>
          <w:highlight w:val="none"/>
          <w:lang w:val="en-US" w:eastAsia="zh-CN"/>
        </w:rPr>
      </w:pPr>
      <w:r>
        <w:rPr>
          <w:rFonts w:hint="eastAsia"/>
          <w:color w:val="auto"/>
          <w:highlight w:val="none"/>
        </w:rPr>
        <w:t>（一）</w:t>
      </w:r>
      <w:r>
        <w:rPr>
          <w:rFonts w:hint="eastAsia"/>
          <w:color w:val="auto"/>
          <w:highlight w:val="none"/>
          <w:lang w:val="en-US" w:eastAsia="zh-CN"/>
        </w:rPr>
        <w:t>准入条件</w:t>
      </w:r>
    </w:p>
    <w:p>
      <w:pPr>
        <w:ind w:firstLine="640" w:firstLineChars="200"/>
        <w:rPr>
          <w:rFonts w:hint="eastAsia"/>
          <w:color w:val="auto"/>
          <w:highlight w:val="none"/>
          <w:lang w:val="en-US" w:eastAsia="zh-CN"/>
        </w:rPr>
      </w:pPr>
      <w:r>
        <w:rPr>
          <w:rFonts w:hint="eastAsia"/>
          <w:color w:val="auto"/>
          <w:highlight w:val="none"/>
          <w:lang w:val="en-US" w:eastAsia="zh-CN"/>
        </w:rPr>
        <w:t>1.服务对象：</w:t>
      </w:r>
    </w:p>
    <w:p>
      <w:pPr>
        <w:ind w:firstLine="640" w:firstLineChars="200"/>
        <w:rPr>
          <w:rFonts w:hint="eastAsia"/>
          <w:color w:val="auto"/>
          <w:highlight w:val="none"/>
          <w:lang w:eastAsia="zh-CN"/>
        </w:rPr>
      </w:pPr>
      <w:r>
        <w:rPr>
          <w:rFonts w:hint="eastAsia"/>
          <w:color w:val="auto"/>
          <w:highlight w:val="none"/>
          <w:lang w:val="en-US" w:eastAsia="zh-CN"/>
        </w:rPr>
        <w:t>（1）</w:t>
      </w:r>
      <w:r>
        <w:rPr>
          <w:rFonts w:hint="eastAsia"/>
          <w:color w:val="auto"/>
          <w:highlight w:val="none"/>
        </w:rPr>
        <w:t>“侨都质量贷”质量品牌荣誉企业名单内的小微企业</w:t>
      </w:r>
      <w:r>
        <w:rPr>
          <w:rFonts w:hint="eastAsia"/>
          <w:color w:val="auto"/>
          <w:highlight w:val="none"/>
          <w:lang w:eastAsia="zh-CN"/>
        </w:rPr>
        <w:t>及首席质量官。</w:t>
      </w:r>
    </w:p>
    <w:p>
      <w:pPr>
        <w:ind w:firstLine="640" w:firstLineChars="200"/>
        <w:rPr>
          <w:rFonts w:hint="eastAsia" w:eastAsia="彩虹粗仿宋"/>
          <w:color w:val="auto"/>
          <w:highlight w:val="none"/>
          <w:lang w:eastAsia="zh-CN"/>
        </w:rPr>
      </w:pPr>
      <w:r>
        <w:rPr>
          <w:rFonts w:hint="eastAsia"/>
          <w:color w:val="auto"/>
          <w:highlight w:val="none"/>
          <w:lang w:eastAsia="zh-CN"/>
        </w:rPr>
        <w:t>（</w:t>
      </w:r>
      <w:r>
        <w:rPr>
          <w:rFonts w:hint="eastAsia"/>
          <w:color w:val="auto"/>
          <w:highlight w:val="none"/>
          <w:lang w:val="en-US" w:eastAsia="zh-CN"/>
        </w:rPr>
        <w:t>2</w:t>
      </w:r>
      <w:r>
        <w:rPr>
          <w:rFonts w:hint="eastAsia"/>
          <w:color w:val="auto"/>
          <w:highlight w:val="none"/>
          <w:lang w:eastAsia="zh-CN"/>
        </w:rPr>
        <w:t>）</w:t>
      </w:r>
      <w:r>
        <w:rPr>
          <w:rFonts w:hint="eastAsia"/>
          <w:color w:val="auto"/>
          <w:highlight w:val="none"/>
        </w:rPr>
        <w:t>“侨都质量贷”质量品牌荣誉企业名单</w:t>
      </w:r>
      <w:r>
        <w:rPr>
          <w:rFonts w:hint="eastAsia"/>
          <w:color w:val="auto"/>
          <w:highlight w:val="none"/>
          <w:lang w:val="en-US" w:eastAsia="zh-CN"/>
        </w:rPr>
        <w:t>中的</w:t>
      </w:r>
      <w:r>
        <w:rPr>
          <w:rFonts w:hint="eastAsia"/>
          <w:color w:val="auto"/>
          <w:highlight w:val="none"/>
        </w:rPr>
        <w:t>“三农”、战略性新兴产业、科技创新类中</w:t>
      </w:r>
      <w:r>
        <w:rPr>
          <w:rFonts w:hint="eastAsia"/>
          <w:color w:val="auto"/>
          <w:highlight w:val="none"/>
          <w:lang w:val="en-US" w:eastAsia="zh-CN"/>
        </w:rPr>
        <w:t>型</w:t>
      </w:r>
      <w:r>
        <w:rPr>
          <w:rFonts w:hint="eastAsia"/>
          <w:color w:val="auto"/>
          <w:highlight w:val="none"/>
        </w:rPr>
        <w:t>企业。</w:t>
      </w:r>
    </w:p>
    <w:p>
      <w:pPr>
        <w:ind w:firstLine="480" w:firstLineChars="200"/>
        <w:rPr>
          <w:rFonts w:hint="eastAsia"/>
          <w:color w:val="auto"/>
          <w:sz w:val="24"/>
          <w:szCs w:val="24"/>
          <w:highlight w:val="none"/>
          <w:lang w:eastAsia="zh-CN"/>
        </w:rPr>
      </w:pPr>
      <w:r>
        <w:rPr>
          <w:rFonts w:hint="eastAsia"/>
          <w:color w:val="auto"/>
          <w:sz w:val="24"/>
          <w:highlight w:val="none"/>
          <w:lang w:val="en-US" w:eastAsia="zh-CN"/>
        </w:rPr>
        <w:t>说明：</w:t>
      </w:r>
      <w:r>
        <w:rPr>
          <w:rFonts w:hint="eastAsia" w:ascii="彩虹粗仿宋" w:hAnsi="彩虹粗仿宋" w:eastAsia="彩虹粗仿宋"/>
          <w:color w:val="auto"/>
          <w:sz w:val="24"/>
          <w:szCs w:val="24"/>
          <w:highlight w:val="none"/>
        </w:rPr>
        <w:t>三农是指</w:t>
      </w:r>
      <w:r>
        <w:rPr>
          <w:rFonts w:hint="eastAsia"/>
          <w:color w:val="000000" w:themeColor="text1"/>
          <w:sz w:val="24"/>
          <w:szCs w:val="24"/>
          <w:highlight w:val="none"/>
          <w:lang w:eastAsia="zh-CN"/>
          <w14:textFill>
            <w14:solidFill>
              <w14:schemeClr w14:val="tx1"/>
            </w14:solidFill>
          </w14:textFill>
        </w:rPr>
        <w:t>营业执照</w:t>
      </w:r>
      <w:r>
        <w:rPr>
          <w:rFonts w:hint="eastAsia"/>
          <w:color w:val="auto"/>
          <w:sz w:val="24"/>
          <w:szCs w:val="24"/>
          <w:highlight w:val="none"/>
          <w:lang w:eastAsia="zh-CN"/>
        </w:rPr>
        <w:t>登记</w:t>
      </w:r>
      <w:r>
        <w:rPr>
          <w:rFonts w:hint="eastAsia" w:ascii="彩虹粗仿宋" w:hAnsi="彩虹粗仿宋" w:eastAsia="彩虹粗仿宋"/>
          <w:color w:val="auto"/>
          <w:sz w:val="24"/>
          <w:szCs w:val="24"/>
          <w:highlight w:val="none"/>
        </w:rPr>
        <w:t>地位于县或县级市的企业或非企业经济组织，从事农、林、牧、渔业行业以及农产品加工的企业、农用物资和农副产品流通等企业或非企业经济组织</w:t>
      </w:r>
      <w:r>
        <w:rPr>
          <w:rFonts w:hint="eastAsia"/>
          <w:color w:val="auto"/>
          <w:sz w:val="24"/>
          <w:szCs w:val="24"/>
          <w:highlight w:val="none"/>
          <w:lang w:eastAsia="zh-CN"/>
        </w:rPr>
        <w:t>。</w:t>
      </w:r>
    </w:p>
    <w:p>
      <w:pPr>
        <w:ind w:firstLine="480" w:firstLineChars="200"/>
        <w:rPr>
          <w:rFonts w:hint="eastAsia"/>
          <w:color w:val="auto"/>
          <w:sz w:val="24"/>
          <w:szCs w:val="24"/>
          <w:highlight w:val="none"/>
          <w:lang w:val="en-US" w:eastAsia="zh-CN"/>
        </w:rPr>
      </w:pPr>
      <w:r>
        <w:rPr>
          <w:rFonts w:hint="eastAsia"/>
          <w:color w:val="auto"/>
          <w:sz w:val="24"/>
          <w:szCs w:val="24"/>
          <w:highlight w:val="none"/>
          <w:lang w:val="en-US" w:eastAsia="zh-CN"/>
        </w:rPr>
        <w:t>战略性新兴产业是指国家发展改革委发布的《战略性新兴产业重点产品和服务指导目录（2016）》明确的5大领域8个产业，40个重点方向下174个子方向、近4000项细分的产品和服务。</w:t>
      </w:r>
    </w:p>
    <w:p>
      <w:pPr>
        <w:ind w:firstLine="640" w:firstLineChars="200"/>
        <w:rPr>
          <w:color w:val="auto"/>
          <w:highlight w:val="none"/>
        </w:rPr>
      </w:pPr>
      <w:r>
        <w:rPr>
          <w:rFonts w:hint="eastAsia"/>
          <w:color w:val="auto"/>
          <w:highlight w:val="none"/>
        </w:rPr>
        <w:t>（二）</w:t>
      </w:r>
      <w:r>
        <w:rPr>
          <w:rFonts w:hint="eastAsia"/>
          <w:color w:val="auto"/>
          <w:highlight w:val="none"/>
          <w:lang w:eastAsia="zh-CN"/>
        </w:rPr>
        <w:t>服务对象营业执照</w:t>
      </w:r>
      <w:r>
        <w:rPr>
          <w:rFonts w:hint="eastAsia"/>
          <w:color w:val="auto"/>
          <w:highlight w:val="none"/>
        </w:rPr>
        <w:t>注册地在江门市</w:t>
      </w:r>
      <w:r>
        <w:rPr>
          <w:rFonts w:hint="eastAsia"/>
          <w:color w:val="auto"/>
          <w:highlight w:val="none"/>
          <w:lang w:eastAsia="zh-CN"/>
        </w:rPr>
        <w:t>辖</w:t>
      </w:r>
      <w:r>
        <w:rPr>
          <w:rFonts w:hint="eastAsia"/>
          <w:color w:val="auto"/>
          <w:highlight w:val="none"/>
        </w:rPr>
        <w:t>内。</w:t>
      </w:r>
    </w:p>
    <w:p>
      <w:pPr>
        <w:ind w:firstLine="640" w:firstLineChars="200"/>
        <w:rPr>
          <w:rFonts w:hint="eastAsia"/>
          <w:color w:val="auto"/>
          <w:highlight w:val="none"/>
        </w:rPr>
      </w:pPr>
      <w:r>
        <w:rPr>
          <w:rFonts w:hint="eastAsia"/>
          <w:color w:val="auto"/>
          <w:highlight w:val="none"/>
        </w:rPr>
        <w:t>（三）担保贷款项目主体及用途要求：贷款项目应符合国家信贷政策和监管要求。地方政府融资平台、国有企业、房地产企业以及金融服务类企业的贷款项目不得准入；贷款项目应为经营性贷款，</w:t>
      </w:r>
      <w:r>
        <w:rPr>
          <w:rFonts w:hint="eastAsia"/>
          <w:color w:val="auto"/>
          <w:highlight w:val="none"/>
          <w:u w:val="none"/>
        </w:rPr>
        <w:t>个人消费贷款、个人住房贷款等非经营性贷款不得准入</w:t>
      </w:r>
      <w:r>
        <w:rPr>
          <w:rFonts w:hint="eastAsia"/>
          <w:color w:val="auto"/>
          <w:highlight w:val="none"/>
        </w:rPr>
        <w:t>。</w:t>
      </w:r>
    </w:p>
    <w:p>
      <w:pPr>
        <w:ind w:firstLine="640" w:firstLineChars="200"/>
        <w:rPr>
          <w:rFonts w:hint="eastAsia"/>
          <w:color w:val="auto"/>
          <w:highlight w:val="none"/>
        </w:rPr>
      </w:pPr>
      <w:r>
        <w:rPr>
          <w:rFonts w:hint="eastAsia"/>
          <w:color w:val="auto"/>
          <w:highlight w:val="none"/>
          <w:lang w:eastAsia="zh-CN"/>
        </w:rPr>
        <w:t>（</w:t>
      </w:r>
      <w:r>
        <w:rPr>
          <w:rFonts w:hint="eastAsia"/>
          <w:color w:val="auto"/>
          <w:highlight w:val="none"/>
          <w:lang w:val="en-US" w:eastAsia="zh-CN"/>
        </w:rPr>
        <w:t>四</w:t>
      </w:r>
      <w:r>
        <w:rPr>
          <w:rFonts w:hint="eastAsia"/>
          <w:color w:val="auto"/>
          <w:highlight w:val="none"/>
          <w:lang w:eastAsia="zh-CN"/>
        </w:rPr>
        <w:t>）</w:t>
      </w:r>
      <w:r>
        <w:rPr>
          <w:rFonts w:hint="eastAsia"/>
          <w:color w:val="auto"/>
          <w:highlight w:val="none"/>
        </w:rPr>
        <w:t>融资金额：单户</w:t>
      </w:r>
      <w:r>
        <w:rPr>
          <w:rFonts w:hint="eastAsia"/>
          <w:color w:val="auto"/>
          <w:highlight w:val="none"/>
          <w:lang w:val="en-US" w:eastAsia="zh-CN"/>
        </w:rPr>
        <w:t>在单个融资机构的授信</w:t>
      </w:r>
      <w:r>
        <w:rPr>
          <w:rFonts w:hint="eastAsia"/>
          <w:color w:val="auto"/>
          <w:highlight w:val="none"/>
        </w:rPr>
        <w:t>金额不超</w:t>
      </w:r>
      <w:r>
        <w:rPr>
          <w:rFonts w:hint="eastAsia"/>
          <w:color w:val="auto"/>
          <w:highlight w:val="none"/>
          <w:lang w:val="en-US" w:eastAsia="zh-CN"/>
        </w:rPr>
        <w:t>过10</w:t>
      </w:r>
      <w:r>
        <w:rPr>
          <w:color w:val="auto"/>
          <w:highlight w:val="none"/>
        </w:rPr>
        <w:t>0</w:t>
      </w:r>
      <w:r>
        <w:rPr>
          <w:rFonts w:hint="eastAsia"/>
          <w:color w:val="auto"/>
          <w:highlight w:val="none"/>
        </w:rPr>
        <w:t>00万元</w:t>
      </w:r>
      <w:r>
        <w:rPr>
          <w:rFonts w:hint="eastAsia"/>
          <w:color w:val="auto"/>
          <w:highlight w:val="none"/>
          <w:lang w:eastAsia="zh-CN"/>
        </w:rPr>
        <w:t>，</w:t>
      </w:r>
      <w:r>
        <w:rPr>
          <w:rFonts w:hint="eastAsia"/>
          <w:color w:val="auto"/>
          <w:highlight w:val="none"/>
          <w:lang w:val="en-US" w:eastAsia="zh-CN"/>
        </w:rPr>
        <w:t>单户中含担保贷款不超过1000万元</w:t>
      </w:r>
      <w:r>
        <w:rPr>
          <w:rFonts w:hint="eastAsia"/>
          <w:color w:val="auto"/>
          <w:highlight w:val="none"/>
        </w:rPr>
        <w:t>。</w:t>
      </w:r>
    </w:p>
    <w:p>
      <w:pPr>
        <w:ind w:firstLine="640" w:firstLineChars="200"/>
        <w:rPr>
          <w:rFonts w:hint="eastAsia" w:ascii="彩虹黑体" w:eastAsia="彩虹黑体"/>
          <w:b/>
          <w:bCs/>
          <w:color w:val="auto"/>
          <w:highlight w:val="none"/>
        </w:rPr>
      </w:pPr>
    </w:p>
    <w:p>
      <w:pPr>
        <w:ind w:firstLine="640" w:firstLineChars="200"/>
        <w:rPr>
          <w:rFonts w:ascii="彩虹黑体" w:eastAsia="彩虹黑体"/>
          <w:b/>
          <w:bCs/>
          <w:color w:val="auto"/>
          <w:highlight w:val="none"/>
        </w:rPr>
      </w:pPr>
      <w:r>
        <w:rPr>
          <w:rFonts w:hint="eastAsia" w:ascii="彩虹黑体" w:eastAsia="彩虹黑体"/>
          <w:b/>
          <w:bCs/>
          <w:color w:val="auto"/>
          <w:highlight w:val="none"/>
        </w:rPr>
        <w:t>三、政府质量品牌</w:t>
      </w:r>
      <w:r>
        <w:rPr>
          <w:rFonts w:hint="eastAsia" w:ascii="彩虹黑体" w:eastAsia="彩虹黑体"/>
          <w:b/>
          <w:bCs/>
          <w:color w:val="auto"/>
          <w:highlight w:val="none"/>
          <w:lang w:eastAsia="zh-CN"/>
        </w:rPr>
        <w:t>企业</w:t>
      </w:r>
      <w:r>
        <w:rPr>
          <w:rFonts w:hint="eastAsia" w:ascii="彩虹黑体" w:eastAsia="彩虹黑体"/>
          <w:b/>
          <w:bCs/>
          <w:color w:val="auto"/>
          <w:highlight w:val="none"/>
        </w:rPr>
        <w:t>专属政策支持</w:t>
      </w:r>
    </w:p>
    <w:p>
      <w:pPr>
        <w:ind w:firstLine="640" w:firstLineChars="200"/>
        <w:rPr>
          <w:rFonts w:hint="eastAsia"/>
          <w:color w:val="auto"/>
          <w:highlight w:val="none"/>
          <w:lang w:val="en-US" w:eastAsia="zh-CN"/>
        </w:rPr>
      </w:pPr>
      <w:r>
        <w:rPr>
          <w:rFonts w:hint="eastAsia"/>
          <w:color w:val="auto"/>
          <w:highlight w:val="none"/>
          <w:lang w:eastAsia="zh-CN"/>
        </w:rPr>
        <w:t>（</w:t>
      </w:r>
      <w:r>
        <w:rPr>
          <w:rFonts w:hint="eastAsia"/>
          <w:color w:val="auto"/>
          <w:highlight w:val="none"/>
          <w:lang w:val="en-US" w:eastAsia="zh-CN"/>
        </w:rPr>
        <w:t>一</w:t>
      </w:r>
      <w:r>
        <w:rPr>
          <w:rFonts w:hint="eastAsia"/>
          <w:color w:val="auto"/>
          <w:highlight w:val="none"/>
          <w:lang w:eastAsia="zh-CN"/>
        </w:rPr>
        <w:t>）</w:t>
      </w:r>
      <w:r>
        <w:rPr>
          <w:rFonts w:hint="eastAsia"/>
          <w:color w:val="auto"/>
          <w:highlight w:val="none"/>
        </w:rPr>
        <w:t>专属授信金额</w:t>
      </w:r>
      <w:r>
        <w:rPr>
          <w:rFonts w:hint="eastAsia"/>
          <w:color w:val="auto"/>
          <w:highlight w:val="none"/>
          <w:lang w:eastAsia="zh-CN"/>
        </w:rPr>
        <w:t>、</w:t>
      </w:r>
      <w:r>
        <w:rPr>
          <w:rFonts w:hint="eastAsia"/>
          <w:color w:val="auto"/>
          <w:highlight w:val="none"/>
        </w:rPr>
        <w:t>贷款利率</w:t>
      </w:r>
      <w:r>
        <w:rPr>
          <w:rFonts w:hint="eastAsia"/>
          <w:color w:val="auto"/>
          <w:highlight w:val="none"/>
          <w:lang w:eastAsia="zh-CN"/>
        </w:rPr>
        <w:t>、担保费率</w:t>
      </w:r>
      <w:r>
        <w:rPr>
          <w:rFonts w:hint="eastAsia"/>
          <w:color w:val="auto"/>
          <w:highlight w:val="none"/>
        </w:rPr>
        <w:t>支持</w:t>
      </w:r>
    </w:p>
    <w:p>
      <w:pPr>
        <w:spacing w:line="560" w:lineRule="exact"/>
        <w:ind w:firstLine="640" w:firstLineChars="200"/>
        <w:jc w:val="both"/>
        <w:rPr>
          <w:rFonts w:hint="eastAsia" w:hAnsi="黑体"/>
          <w:color w:val="auto"/>
          <w:szCs w:val="32"/>
          <w:highlight w:val="none"/>
          <w:lang w:val="en-US" w:eastAsia="zh-CN"/>
        </w:rPr>
      </w:pPr>
      <w:r>
        <w:rPr>
          <w:rFonts w:hint="eastAsia" w:hAnsi="黑体"/>
          <w:color w:val="auto"/>
          <w:szCs w:val="32"/>
          <w:highlight w:val="none"/>
          <w:lang w:val="en-US" w:eastAsia="zh-CN"/>
        </w:rPr>
        <w:t>将</w:t>
      </w:r>
      <w:r>
        <w:rPr>
          <w:rFonts w:hint="eastAsia"/>
          <w:color w:val="auto"/>
          <w:highlight w:val="none"/>
        </w:rPr>
        <w:t>“侨都质量贷”质量品牌荣誉企业名单</w:t>
      </w:r>
      <w:r>
        <w:rPr>
          <w:rFonts w:hint="eastAsia" w:hAnsi="黑体"/>
          <w:color w:val="auto"/>
          <w:szCs w:val="32"/>
          <w:highlight w:val="none"/>
        </w:rPr>
        <w:t>分为三类</w:t>
      </w:r>
      <w:r>
        <w:rPr>
          <w:rFonts w:hint="eastAsia" w:hAnsi="黑体"/>
          <w:color w:val="auto"/>
          <w:szCs w:val="32"/>
          <w:highlight w:val="none"/>
          <w:lang w:val="en-US" w:eastAsia="zh-CN"/>
        </w:rPr>
        <w:t>，按类别划分企业授信额度、贷款利率、担保费率。分类由江门市市场监督管理局及粤财普惠金融（江门）融资担保股份有限公司共同</w:t>
      </w:r>
      <w:r>
        <w:rPr>
          <w:rFonts w:hint="eastAsia"/>
          <w:color w:val="auto"/>
          <w:highlight w:val="none"/>
        </w:rPr>
        <w:t>审定。</w:t>
      </w:r>
      <w:r>
        <w:rPr>
          <w:rFonts w:hint="eastAsia" w:hAnsi="黑体"/>
          <w:color w:val="auto"/>
          <w:szCs w:val="32"/>
          <w:highlight w:val="none"/>
          <w:lang w:val="en-US" w:eastAsia="zh-CN"/>
        </w:rPr>
        <w:t>如下：</w:t>
      </w:r>
    </w:p>
    <w:tbl>
      <w:tblPr>
        <w:tblStyle w:val="5"/>
        <w:tblW w:w="91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777"/>
        <w:gridCol w:w="63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1" w:hRule="atLeast"/>
          <w:jc w:val="center"/>
        </w:trPr>
        <w:tc>
          <w:tcPr>
            <w:tcW w:w="2777" w:type="dxa"/>
            <w:noWrap/>
            <w:tcMar>
              <w:top w:w="0" w:type="dxa"/>
              <w:left w:w="105" w:type="dxa"/>
              <w:bottom w:w="0" w:type="dxa"/>
              <w:right w:w="105" w:type="dxa"/>
            </w:tcMar>
            <w:vAlign w:val="center"/>
          </w:tcPr>
          <w:p>
            <w:pPr>
              <w:widowControl/>
              <w:spacing w:line="400" w:lineRule="exact"/>
              <w:jc w:val="center"/>
              <w:rPr>
                <w:rFonts w:hAnsi="宋体" w:cs="宋体"/>
                <w:b/>
                <w:color w:val="auto"/>
                <w:kern w:val="0"/>
                <w:sz w:val="24"/>
                <w:highlight w:val="none"/>
              </w:rPr>
            </w:pPr>
            <w:r>
              <w:rPr>
                <w:rFonts w:hint="eastAsia" w:hAnsi="宋体" w:cs="宋体"/>
                <w:b/>
                <w:color w:val="auto"/>
                <w:kern w:val="0"/>
                <w:sz w:val="24"/>
                <w:highlight w:val="none"/>
              </w:rPr>
              <w:t>所属类别</w:t>
            </w:r>
          </w:p>
        </w:tc>
        <w:tc>
          <w:tcPr>
            <w:tcW w:w="6325" w:type="dxa"/>
            <w:noWrap/>
            <w:tcMar>
              <w:top w:w="0" w:type="dxa"/>
              <w:left w:w="105" w:type="dxa"/>
              <w:bottom w:w="0" w:type="dxa"/>
              <w:right w:w="105" w:type="dxa"/>
            </w:tcMar>
            <w:vAlign w:val="center"/>
          </w:tcPr>
          <w:p>
            <w:pPr>
              <w:spacing w:line="400" w:lineRule="exact"/>
              <w:jc w:val="center"/>
              <w:rPr>
                <w:rFonts w:hAnsi="宋体" w:cs="宋体"/>
                <w:color w:val="auto"/>
                <w:kern w:val="0"/>
                <w:sz w:val="24"/>
                <w:highlight w:val="none"/>
              </w:rPr>
            </w:pPr>
            <w:r>
              <w:rPr>
                <w:rFonts w:hint="eastAsia" w:hAnsi="宋体" w:cs="宋体"/>
                <w:b/>
                <w:color w:val="auto"/>
                <w:kern w:val="0"/>
                <w:sz w:val="24"/>
                <w:highlight w:val="none"/>
              </w:rPr>
              <w:t>质量品牌名称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 w:hRule="atLeast"/>
          <w:jc w:val="center"/>
        </w:trPr>
        <w:tc>
          <w:tcPr>
            <w:tcW w:w="2777" w:type="dxa"/>
            <w:tcMar>
              <w:top w:w="0" w:type="dxa"/>
              <w:left w:w="105" w:type="dxa"/>
              <w:bottom w:w="0" w:type="dxa"/>
              <w:right w:w="105" w:type="dxa"/>
            </w:tcMar>
            <w:vAlign w:val="center"/>
          </w:tcPr>
          <w:p>
            <w:pPr>
              <w:widowControl/>
              <w:spacing w:line="400" w:lineRule="exact"/>
              <w:jc w:val="center"/>
              <w:rPr>
                <w:rFonts w:hAnsi="宋体" w:cs="宋体"/>
                <w:b/>
                <w:color w:val="auto"/>
                <w:kern w:val="0"/>
                <w:sz w:val="24"/>
                <w:highlight w:val="none"/>
              </w:rPr>
            </w:pPr>
            <w:r>
              <w:rPr>
                <w:rFonts w:hint="eastAsia" w:hAnsi="宋体" w:cs="宋体"/>
                <w:b/>
                <w:color w:val="auto"/>
                <w:kern w:val="0"/>
                <w:sz w:val="24"/>
                <w:highlight w:val="none"/>
              </w:rPr>
              <w:t>一类企业</w:t>
            </w:r>
          </w:p>
        </w:tc>
        <w:tc>
          <w:tcPr>
            <w:tcW w:w="6325" w:type="dxa"/>
            <w:noWrap/>
            <w:tcMar>
              <w:top w:w="0" w:type="dxa"/>
              <w:left w:w="105" w:type="dxa"/>
              <w:bottom w:w="0" w:type="dxa"/>
              <w:right w:w="105" w:type="dxa"/>
            </w:tcMar>
            <w:vAlign w:val="center"/>
          </w:tcPr>
          <w:p>
            <w:pPr>
              <w:widowControl/>
              <w:spacing w:line="400" w:lineRule="exact"/>
              <w:jc w:val="left"/>
              <w:rPr>
                <w:rFonts w:hAnsi="Arial" w:cs="Arial"/>
                <w:color w:val="auto"/>
                <w:kern w:val="0"/>
                <w:sz w:val="24"/>
                <w:highlight w:val="none"/>
              </w:rPr>
            </w:pPr>
            <w:r>
              <w:rPr>
                <w:rFonts w:hint="eastAsia" w:hAnsi="Arial" w:cs="Arial"/>
                <w:color w:val="auto"/>
                <w:kern w:val="0"/>
                <w:sz w:val="24"/>
                <w:highlight w:val="none"/>
              </w:rPr>
              <w:t>中国质量奖（含提名奖）、广东省政府质量奖（含提名奖）获奖企业，国家级专精特新重点“小巨人”企业、国家级专精特新“小巨人”企业，国家知识产权示范企业、国家知识产权优势企业，鲁班奖、国家优质工程奖、大禹奖获奖企业，参与国际标准制修订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 w:hRule="atLeast"/>
          <w:jc w:val="center"/>
        </w:trPr>
        <w:tc>
          <w:tcPr>
            <w:tcW w:w="2777" w:type="dxa"/>
            <w:vAlign w:val="center"/>
          </w:tcPr>
          <w:p>
            <w:pPr>
              <w:widowControl/>
              <w:spacing w:line="400" w:lineRule="exact"/>
              <w:ind w:firstLine="960" w:firstLineChars="400"/>
              <w:jc w:val="left"/>
              <w:rPr>
                <w:rFonts w:hAnsi="宋体" w:cs="宋体"/>
                <w:color w:val="auto"/>
                <w:kern w:val="0"/>
                <w:sz w:val="24"/>
                <w:highlight w:val="none"/>
              </w:rPr>
            </w:pPr>
            <w:r>
              <w:rPr>
                <w:rFonts w:hint="eastAsia" w:hAnsi="宋体" w:cs="宋体"/>
                <w:b/>
                <w:color w:val="auto"/>
                <w:kern w:val="0"/>
                <w:sz w:val="24"/>
                <w:highlight w:val="none"/>
              </w:rPr>
              <w:t>二类企业</w:t>
            </w:r>
          </w:p>
        </w:tc>
        <w:tc>
          <w:tcPr>
            <w:tcW w:w="6325" w:type="dxa"/>
            <w:noWrap/>
            <w:tcMar>
              <w:top w:w="0" w:type="dxa"/>
              <w:left w:w="105" w:type="dxa"/>
              <w:bottom w:w="0" w:type="dxa"/>
              <w:right w:w="105" w:type="dxa"/>
            </w:tcMar>
            <w:vAlign w:val="center"/>
          </w:tcPr>
          <w:p>
            <w:pPr>
              <w:widowControl/>
              <w:spacing w:line="400" w:lineRule="exact"/>
              <w:jc w:val="left"/>
              <w:rPr>
                <w:rFonts w:hAnsi="Arial" w:cs="Arial"/>
                <w:color w:val="auto"/>
                <w:kern w:val="0"/>
                <w:sz w:val="24"/>
                <w:highlight w:val="none"/>
              </w:rPr>
            </w:pPr>
            <w:r>
              <w:rPr>
                <w:rFonts w:hint="eastAsia" w:hAnsi="Arial" w:cs="Arial"/>
                <w:color w:val="auto"/>
                <w:kern w:val="0"/>
                <w:sz w:val="24"/>
                <w:highlight w:val="none"/>
              </w:rPr>
              <w:t>江门市政府质量奖获奖企业，广东省专精特新企业，粤字号农业品牌企业，广东省重点农业龙头企业，广东省知识产权示范企业，广东省优质工程奖获奖企业，参与国家标准制修订企业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 w:hRule="atLeast"/>
          <w:jc w:val="center"/>
        </w:trPr>
        <w:tc>
          <w:tcPr>
            <w:tcW w:w="2777" w:type="dxa"/>
            <w:vAlign w:val="center"/>
          </w:tcPr>
          <w:p>
            <w:pPr>
              <w:widowControl/>
              <w:spacing w:line="400" w:lineRule="exact"/>
              <w:ind w:firstLine="960" w:firstLineChars="400"/>
              <w:jc w:val="left"/>
              <w:rPr>
                <w:rFonts w:hint="eastAsia" w:hAnsi="宋体" w:eastAsia="彩虹粗仿宋" w:cs="宋体"/>
                <w:color w:val="auto"/>
                <w:kern w:val="0"/>
                <w:sz w:val="24"/>
                <w:highlight w:val="none"/>
                <w:lang w:eastAsia="zh-CN"/>
              </w:rPr>
            </w:pPr>
            <w:r>
              <w:rPr>
                <w:rFonts w:hint="eastAsia" w:hAnsi="宋体" w:cs="宋体"/>
                <w:b/>
                <w:color w:val="auto"/>
                <w:kern w:val="0"/>
                <w:sz w:val="24"/>
                <w:highlight w:val="none"/>
              </w:rPr>
              <w:t>三类企业</w:t>
            </w:r>
          </w:p>
        </w:tc>
        <w:tc>
          <w:tcPr>
            <w:tcW w:w="6325" w:type="dxa"/>
            <w:noWrap/>
            <w:tcMar>
              <w:top w:w="0" w:type="dxa"/>
              <w:left w:w="105" w:type="dxa"/>
              <w:bottom w:w="0" w:type="dxa"/>
              <w:right w:w="105" w:type="dxa"/>
            </w:tcMar>
            <w:vAlign w:val="center"/>
          </w:tcPr>
          <w:p>
            <w:pPr>
              <w:widowControl/>
              <w:spacing w:line="400" w:lineRule="exact"/>
              <w:jc w:val="left"/>
              <w:rPr>
                <w:rFonts w:hAnsi="Arial" w:cs="Arial"/>
                <w:color w:val="auto"/>
                <w:kern w:val="0"/>
                <w:sz w:val="24"/>
                <w:highlight w:val="none"/>
              </w:rPr>
            </w:pPr>
            <w:r>
              <w:rPr>
                <w:rFonts w:hint="eastAsia" w:hAnsi="Arial" w:cs="Arial"/>
                <w:color w:val="auto"/>
                <w:kern w:val="0"/>
                <w:sz w:val="24"/>
                <w:highlight w:val="none"/>
              </w:rPr>
              <w:t>江门市县（市、区）政府质量奖获奖企业，江门市高新技术企业，江门市重点农业龙头企业，粤港澳大湾区“菜篮子”生产基地和加工企业</w:t>
            </w:r>
            <w:r>
              <w:rPr>
                <w:rFonts w:hint="eastAsia" w:hAnsi="Arial" w:cs="Arial"/>
                <w:color w:val="auto"/>
                <w:kern w:val="0"/>
                <w:sz w:val="24"/>
                <w:highlight w:val="none"/>
                <w:lang w:eastAsia="zh-CN"/>
              </w:rPr>
              <w:t>，</w:t>
            </w:r>
            <w:r>
              <w:rPr>
                <w:rFonts w:hint="eastAsia" w:hAnsi="Arial" w:cs="Arial"/>
                <w:color w:val="auto"/>
                <w:kern w:val="0"/>
                <w:sz w:val="24"/>
                <w:highlight w:val="none"/>
              </w:rPr>
              <w:t>江门市任命首席质量官企业</w:t>
            </w:r>
          </w:p>
        </w:tc>
      </w:tr>
    </w:tbl>
    <w:p>
      <w:pPr>
        <w:spacing w:line="240" w:lineRule="atLeast"/>
        <w:ind w:firstLine="480" w:firstLineChars="200"/>
        <w:rPr>
          <w:rFonts w:hint="eastAsia"/>
          <w:color w:val="auto"/>
          <w:sz w:val="24"/>
          <w:highlight w:val="none"/>
          <w:lang w:val="en-US" w:eastAsia="zh-CN"/>
        </w:rPr>
      </w:pPr>
      <w:r>
        <w:rPr>
          <w:rFonts w:hint="eastAsia"/>
          <w:color w:val="auto"/>
          <w:sz w:val="24"/>
          <w:highlight w:val="none"/>
          <w:lang w:val="en-US" w:eastAsia="zh-CN"/>
        </w:rPr>
        <w:t>说明：当同一企业同时符合多个分类时，按照'就高不就低'原则执行，即自动适用最高级别的优惠。具体优先级顺序为：一类 &gt; 二类 &gt; 三类。</w:t>
      </w:r>
    </w:p>
    <w:p>
      <w:pPr>
        <w:spacing w:line="240" w:lineRule="atLeast"/>
        <w:ind w:firstLine="640" w:firstLineChars="200"/>
        <w:rPr>
          <w:rFonts w:hint="default" w:hAnsi="黑体"/>
          <w:color w:val="auto"/>
          <w:szCs w:val="32"/>
          <w:highlight w:val="none"/>
          <w:lang w:val="en-US" w:eastAsia="zh-CN"/>
        </w:rPr>
      </w:pPr>
      <w:r>
        <w:rPr>
          <w:rFonts w:hint="eastAsia" w:hAnsi="黑体"/>
          <w:color w:val="auto"/>
          <w:szCs w:val="32"/>
          <w:highlight w:val="none"/>
        </w:rPr>
        <w:t>按</w:t>
      </w:r>
      <w:r>
        <w:rPr>
          <w:rFonts w:hint="eastAsia" w:hAnsi="黑体"/>
          <w:color w:val="auto"/>
          <w:szCs w:val="32"/>
          <w:highlight w:val="none"/>
          <w:lang w:val="en-US" w:eastAsia="zh-CN"/>
        </w:rPr>
        <w:t>上述</w:t>
      </w:r>
      <w:r>
        <w:rPr>
          <w:rFonts w:hint="eastAsia" w:hAnsi="黑体"/>
          <w:color w:val="auto"/>
          <w:szCs w:val="32"/>
          <w:highlight w:val="none"/>
        </w:rPr>
        <w:t>类别</w:t>
      </w:r>
      <w:r>
        <w:rPr>
          <w:rFonts w:hint="eastAsia" w:hAnsi="黑体"/>
          <w:color w:val="auto"/>
          <w:szCs w:val="32"/>
          <w:highlight w:val="none"/>
          <w:lang w:val="en-US" w:eastAsia="zh-CN"/>
        </w:rPr>
        <w:t>划分，对融资主体提供差异化额度支持和优惠利率等</w:t>
      </w:r>
      <w:r>
        <w:rPr>
          <w:rFonts w:hint="eastAsia" w:hAnsi="黑体"/>
          <w:color w:val="auto"/>
          <w:szCs w:val="32"/>
          <w:highlight w:val="none"/>
        </w:rPr>
        <w:t>。</w:t>
      </w:r>
      <w:r>
        <w:rPr>
          <w:rFonts w:hint="eastAsia" w:hAnsi="黑体"/>
          <w:color w:val="auto"/>
          <w:szCs w:val="32"/>
          <w:highlight w:val="none"/>
          <w:lang w:val="en-US" w:eastAsia="zh-CN"/>
        </w:rPr>
        <w:t>具体如下：</w:t>
      </w:r>
    </w:p>
    <w:p>
      <w:pPr>
        <w:spacing w:line="240" w:lineRule="atLeast"/>
        <w:ind w:firstLine="640" w:firstLineChars="200"/>
        <w:rPr>
          <w:rFonts w:hint="eastAsia"/>
          <w:color w:val="auto"/>
          <w:highlight w:val="none"/>
        </w:rPr>
      </w:pPr>
      <w:r>
        <w:rPr>
          <w:rFonts w:hint="eastAsia"/>
          <w:color w:val="auto"/>
          <w:highlight w:val="none"/>
          <w:lang w:val="en-US" w:eastAsia="zh-CN"/>
        </w:rPr>
        <w:t>1.融资主体仅申请银行贷款（不需要担保公司增信）。根据以上分类标准，</w:t>
      </w:r>
      <w:r>
        <w:rPr>
          <w:rFonts w:hint="eastAsia"/>
          <w:color w:val="auto"/>
          <w:highlight w:val="none"/>
        </w:rPr>
        <w:t>合作银行</w:t>
      </w:r>
      <w:r>
        <w:rPr>
          <w:rFonts w:hint="eastAsia"/>
          <w:color w:val="000000" w:themeColor="text1"/>
          <w:szCs w:val="24"/>
          <w:highlight w:val="none"/>
          <w:lang w:val="en-US" w:eastAsia="zh-CN"/>
          <w14:textFill>
            <w14:solidFill>
              <w14:schemeClr w14:val="tx1"/>
            </w14:solidFill>
          </w14:textFill>
        </w:rPr>
        <w:t>（工商银行江门分行、农业银行江门分行、中国银行江门分行或开平农商银行）</w:t>
      </w:r>
      <w:r>
        <w:rPr>
          <w:rFonts w:hint="eastAsia"/>
          <w:color w:val="auto"/>
          <w:highlight w:val="none"/>
          <w:lang w:val="en-US" w:eastAsia="zh-CN"/>
        </w:rPr>
        <w:t>给予以下支持：</w:t>
      </w:r>
    </w:p>
    <w:tbl>
      <w:tblPr>
        <w:tblStyle w:val="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599"/>
        <w:gridCol w:w="3062"/>
        <w:gridCol w:w="2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3" w:hRule="atLeast"/>
          <w:jc w:val="center"/>
        </w:trPr>
        <w:tc>
          <w:tcPr>
            <w:tcW w:w="1526" w:type="pct"/>
            <w:noWrap/>
            <w:tcMar>
              <w:top w:w="0" w:type="dxa"/>
              <w:left w:w="105" w:type="dxa"/>
              <w:bottom w:w="0" w:type="dxa"/>
              <w:right w:w="105" w:type="dxa"/>
            </w:tcMar>
            <w:vAlign w:val="center"/>
          </w:tcPr>
          <w:p>
            <w:pPr>
              <w:widowControl/>
              <w:spacing w:line="400" w:lineRule="exact"/>
              <w:jc w:val="center"/>
              <w:rPr>
                <w:rFonts w:hAnsi="宋体" w:cs="宋体"/>
                <w:b/>
                <w:color w:val="auto"/>
                <w:kern w:val="0"/>
                <w:sz w:val="24"/>
                <w:highlight w:val="none"/>
              </w:rPr>
            </w:pPr>
            <w:r>
              <w:rPr>
                <w:rFonts w:hint="eastAsia" w:hAnsi="宋体" w:cs="宋体"/>
                <w:b/>
                <w:color w:val="auto"/>
                <w:kern w:val="0"/>
                <w:sz w:val="24"/>
                <w:highlight w:val="none"/>
              </w:rPr>
              <w:t>所属类别</w:t>
            </w:r>
          </w:p>
        </w:tc>
        <w:tc>
          <w:tcPr>
            <w:tcW w:w="1798" w:type="pct"/>
            <w:noWrap/>
            <w:tcMar>
              <w:top w:w="0" w:type="dxa"/>
              <w:left w:w="105" w:type="dxa"/>
              <w:bottom w:w="0" w:type="dxa"/>
              <w:right w:w="105" w:type="dxa"/>
            </w:tcMar>
            <w:vAlign w:val="center"/>
          </w:tcPr>
          <w:p>
            <w:pPr>
              <w:spacing w:line="400" w:lineRule="exact"/>
              <w:jc w:val="center"/>
              <w:rPr>
                <w:rFonts w:hAnsi="宋体" w:cs="宋体"/>
                <w:b/>
                <w:color w:val="auto"/>
                <w:kern w:val="0"/>
                <w:sz w:val="24"/>
                <w:highlight w:val="none"/>
              </w:rPr>
            </w:pPr>
            <w:r>
              <w:rPr>
                <w:rFonts w:hint="eastAsia" w:hAnsi="宋体" w:cs="宋体"/>
                <w:b/>
                <w:color w:val="auto"/>
                <w:kern w:val="0"/>
                <w:sz w:val="24"/>
                <w:highlight w:val="none"/>
              </w:rPr>
              <w:t>授信金额</w:t>
            </w:r>
          </w:p>
        </w:tc>
        <w:tc>
          <w:tcPr>
            <w:tcW w:w="1674" w:type="pct"/>
            <w:noWrap/>
            <w:tcMar>
              <w:top w:w="0" w:type="dxa"/>
              <w:left w:w="105" w:type="dxa"/>
              <w:bottom w:w="0" w:type="dxa"/>
              <w:right w:w="105" w:type="dxa"/>
            </w:tcMar>
            <w:vAlign w:val="center"/>
          </w:tcPr>
          <w:p>
            <w:pPr>
              <w:spacing w:line="400" w:lineRule="exact"/>
              <w:jc w:val="center"/>
              <w:rPr>
                <w:rFonts w:hint="default" w:hAnsi="宋体" w:eastAsia="彩虹粗仿宋" w:cs="宋体"/>
                <w:b/>
                <w:color w:val="auto"/>
                <w:kern w:val="0"/>
                <w:sz w:val="24"/>
                <w:highlight w:val="none"/>
                <w:lang w:val="en-US" w:eastAsia="zh-CN"/>
              </w:rPr>
            </w:pPr>
            <w:r>
              <w:rPr>
                <w:rFonts w:hint="eastAsia" w:hAnsi="宋体" w:cs="宋体"/>
                <w:b/>
                <w:color w:val="auto"/>
                <w:kern w:val="0"/>
                <w:sz w:val="24"/>
                <w:highlight w:val="none"/>
                <w:lang w:val="en-US" w:eastAsia="zh-CN"/>
              </w:rPr>
              <w:t>贷款利率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 w:hRule="atLeast"/>
          <w:jc w:val="center"/>
        </w:trPr>
        <w:tc>
          <w:tcPr>
            <w:tcW w:w="1526" w:type="pct"/>
            <w:tcMar>
              <w:top w:w="0" w:type="dxa"/>
              <w:left w:w="105" w:type="dxa"/>
              <w:bottom w:w="0" w:type="dxa"/>
              <w:right w:w="105" w:type="dxa"/>
            </w:tcMar>
            <w:vAlign w:val="center"/>
          </w:tcPr>
          <w:p>
            <w:pPr>
              <w:widowControl/>
              <w:spacing w:line="400" w:lineRule="exact"/>
              <w:jc w:val="center"/>
              <w:rPr>
                <w:rFonts w:hAnsi="宋体" w:cs="宋体"/>
                <w:b/>
                <w:color w:val="auto"/>
                <w:kern w:val="0"/>
                <w:sz w:val="24"/>
                <w:highlight w:val="none"/>
              </w:rPr>
            </w:pPr>
            <w:r>
              <w:rPr>
                <w:rFonts w:hint="eastAsia" w:hAnsi="宋体" w:cs="宋体"/>
                <w:b/>
                <w:color w:val="auto"/>
                <w:kern w:val="0"/>
                <w:sz w:val="24"/>
                <w:highlight w:val="none"/>
              </w:rPr>
              <w:t>一类企业</w:t>
            </w:r>
          </w:p>
        </w:tc>
        <w:tc>
          <w:tcPr>
            <w:tcW w:w="1798" w:type="pct"/>
            <w:noWrap/>
            <w:tcMar>
              <w:top w:w="0" w:type="dxa"/>
              <w:left w:w="105" w:type="dxa"/>
              <w:bottom w:w="0" w:type="dxa"/>
              <w:right w:w="105" w:type="dxa"/>
            </w:tcMar>
            <w:vAlign w:val="center"/>
          </w:tcPr>
          <w:p>
            <w:pPr>
              <w:widowControl/>
              <w:spacing w:line="400" w:lineRule="exact"/>
              <w:jc w:val="center"/>
              <w:rPr>
                <w:rFonts w:hAnsi="Arial" w:cs="Arial"/>
                <w:b/>
                <w:bCs/>
                <w:color w:val="auto"/>
                <w:kern w:val="0"/>
                <w:sz w:val="24"/>
                <w:highlight w:val="none"/>
              </w:rPr>
            </w:pPr>
            <w:r>
              <w:rPr>
                <w:rFonts w:hint="eastAsia" w:hAnsi="Arial" w:cs="Arial"/>
                <w:b/>
                <w:bCs/>
                <w:color w:val="auto"/>
                <w:kern w:val="0"/>
                <w:sz w:val="24"/>
                <w:highlight w:val="none"/>
              </w:rPr>
              <w:t>最高100</w:t>
            </w:r>
            <w:r>
              <w:rPr>
                <w:rFonts w:hint="eastAsia" w:hAnsi="Arial" w:cs="Arial"/>
                <w:b/>
                <w:bCs/>
                <w:color w:val="auto"/>
                <w:kern w:val="0"/>
                <w:sz w:val="24"/>
                <w:highlight w:val="none"/>
                <w:lang w:val="en-US" w:eastAsia="zh-CN"/>
              </w:rPr>
              <w:t>0</w:t>
            </w:r>
            <w:r>
              <w:rPr>
                <w:rFonts w:hint="eastAsia" w:hAnsi="Arial" w:cs="Arial"/>
                <w:b/>
                <w:bCs/>
                <w:color w:val="auto"/>
                <w:kern w:val="0"/>
                <w:sz w:val="24"/>
                <w:highlight w:val="none"/>
              </w:rPr>
              <w:t>0万元</w:t>
            </w:r>
          </w:p>
        </w:tc>
        <w:tc>
          <w:tcPr>
            <w:tcW w:w="1674" w:type="pct"/>
            <w:noWrap/>
            <w:tcMar>
              <w:top w:w="0" w:type="dxa"/>
              <w:left w:w="105" w:type="dxa"/>
              <w:bottom w:w="0" w:type="dxa"/>
              <w:right w:w="105" w:type="dxa"/>
            </w:tcMar>
            <w:vAlign w:val="center"/>
          </w:tcPr>
          <w:p>
            <w:pPr>
              <w:widowControl/>
              <w:spacing w:line="400" w:lineRule="exact"/>
              <w:jc w:val="center"/>
              <w:rPr>
                <w:rFonts w:hint="eastAsia" w:hAnsi="Arial" w:eastAsia="彩虹粗仿宋" w:cs="Arial"/>
                <w:b/>
                <w:bCs/>
                <w:color w:val="auto"/>
                <w:kern w:val="0"/>
                <w:sz w:val="24"/>
                <w:highlight w:val="none"/>
                <w:lang w:val="en-US" w:eastAsia="zh-CN"/>
              </w:rPr>
            </w:pPr>
            <w:r>
              <w:rPr>
                <w:rFonts w:hint="eastAsia" w:hAnsi="Arial" w:cs="Arial"/>
                <w:b/>
                <w:bCs/>
                <w:color w:val="auto"/>
                <w:kern w:val="0"/>
                <w:sz w:val="24"/>
                <w:highlight w:val="none"/>
                <w:lang w:val="en-US" w:eastAsia="zh-CN"/>
              </w:rPr>
              <w:t>最低可至2.65%/年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 w:hRule="atLeast"/>
          <w:jc w:val="center"/>
        </w:trPr>
        <w:tc>
          <w:tcPr>
            <w:tcW w:w="1526" w:type="pct"/>
            <w:vAlign w:val="center"/>
          </w:tcPr>
          <w:p>
            <w:pPr>
              <w:widowControl/>
              <w:spacing w:line="400" w:lineRule="exact"/>
              <w:jc w:val="center"/>
              <w:rPr>
                <w:rFonts w:hAnsi="宋体" w:cs="宋体"/>
                <w:color w:val="auto"/>
                <w:kern w:val="0"/>
                <w:sz w:val="24"/>
                <w:highlight w:val="none"/>
              </w:rPr>
            </w:pPr>
            <w:r>
              <w:rPr>
                <w:rFonts w:hint="eastAsia" w:hAnsi="宋体" w:cs="宋体"/>
                <w:b/>
                <w:color w:val="auto"/>
                <w:kern w:val="0"/>
                <w:sz w:val="24"/>
                <w:highlight w:val="none"/>
              </w:rPr>
              <w:t>二类企业</w:t>
            </w:r>
          </w:p>
        </w:tc>
        <w:tc>
          <w:tcPr>
            <w:tcW w:w="1798" w:type="pct"/>
            <w:noWrap/>
            <w:tcMar>
              <w:top w:w="0" w:type="dxa"/>
              <w:left w:w="105" w:type="dxa"/>
              <w:bottom w:w="0" w:type="dxa"/>
              <w:right w:w="105" w:type="dxa"/>
            </w:tcMar>
            <w:vAlign w:val="center"/>
          </w:tcPr>
          <w:p>
            <w:pPr>
              <w:widowControl/>
              <w:spacing w:line="400" w:lineRule="exact"/>
              <w:jc w:val="center"/>
              <w:rPr>
                <w:rFonts w:hAnsi="Arial" w:cs="Arial"/>
                <w:b/>
                <w:bCs/>
                <w:color w:val="auto"/>
                <w:kern w:val="0"/>
                <w:sz w:val="24"/>
                <w:highlight w:val="none"/>
              </w:rPr>
            </w:pPr>
            <w:r>
              <w:rPr>
                <w:rFonts w:hint="eastAsia" w:hAnsi="Arial" w:cs="Arial"/>
                <w:b/>
                <w:bCs/>
                <w:color w:val="auto"/>
                <w:kern w:val="0"/>
                <w:sz w:val="24"/>
                <w:highlight w:val="none"/>
              </w:rPr>
              <w:t>最高</w:t>
            </w:r>
            <w:r>
              <w:rPr>
                <w:rFonts w:hint="eastAsia" w:hAnsi="Arial" w:cs="Arial"/>
                <w:b/>
                <w:bCs/>
                <w:color w:val="auto"/>
                <w:kern w:val="0"/>
                <w:sz w:val="24"/>
                <w:highlight w:val="none"/>
                <w:lang w:val="en-US" w:eastAsia="zh-CN"/>
              </w:rPr>
              <w:t>5000</w:t>
            </w:r>
            <w:r>
              <w:rPr>
                <w:rFonts w:hint="eastAsia" w:hAnsi="Arial" w:cs="Arial"/>
                <w:b/>
                <w:bCs/>
                <w:color w:val="auto"/>
                <w:kern w:val="0"/>
                <w:sz w:val="24"/>
                <w:highlight w:val="none"/>
              </w:rPr>
              <w:t>万元</w:t>
            </w:r>
          </w:p>
        </w:tc>
        <w:tc>
          <w:tcPr>
            <w:tcW w:w="1674" w:type="pct"/>
            <w:noWrap/>
            <w:tcMar>
              <w:top w:w="0" w:type="dxa"/>
              <w:left w:w="105" w:type="dxa"/>
              <w:bottom w:w="0" w:type="dxa"/>
              <w:right w:w="105" w:type="dxa"/>
            </w:tcMar>
            <w:vAlign w:val="center"/>
          </w:tcPr>
          <w:p>
            <w:pPr>
              <w:widowControl/>
              <w:spacing w:line="400" w:lineRule="exact"/>
              <w:jc w:val="center"/>
              <w:rPr>
                <w:rFonts w:hint="default" w:hAnsi="Arial" w:eastAsia="彩虹粗仿宋" w:cs="Arial"/>
                <w:b/>
                <w:bCs/>
                <w:color w:val="auto"/>
                <w:kern w:val="0"/>
                <w:sz w:val="24"/>
                <w:highlight w:val="none"/>
                <w:lang w:val="en-US" w:eastAsia="zh-CN"/>
              </w:rPr>
            </w:pPr>
            <w:r>
              <w:rPr>
                <w:rFonts w:hint="eastAsia" w:hAnsi="Arial" w:cs="Arial"/>
                <w:b/>
                <w:bCs/>
                <w:color w:val="auto"/>
                <w:kern w:val="0"/>
                <w:sz w:val="24"/>
                <w:highlight w:val="none"/>
                <w:lang w:val="en-US" w:eastAsia="zh-CN"/>
              </w:rPr>
              <w:t>最低可至2.9%/年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 w:hRule="atLeast"/>
          <w:jc w:val="center"/>
        </w:trPr>
        <w:tc>
          <w:tcPr>
            <w:tcW w:w="1526" w:type="pct"/>
            <w:vAlign w:val="center"/>
          </w:tcPr>
          <w:p>
            <w:pPr>
              <w:widowControl/>
              <w:spacing w:line="400" w:lineRule="exact"/>
              <w:jc w:val="center"/>
              <w:rPr>
                <w:rFonts w:hint="eastAsia" w:hAnsi="宋体" w:cs="宋体"/>
                <w:b/>
                <w:color w:val="auto"/>
                <w:kern w:val="0"/>
                <w:sz w:val="24"/>
                <w:highlight w:val="none"/>
              </w:rPr>
            </w:pPr>
            <w:r>
              <w:rPr>
                <w:rFonts w:hint="eastAsia" w:hAnsi="宋体" w:cs="宋体"/>
                <w:b/>
                <w:color w:val="auto"/>
                <w:kern w:val="0"/>
                <w:sz w:val="24"/>
                <w:highlight w:val="none"/>
              </w:rPr>
              <w:t>三类企业</w:t>
            </w:r>
          </w:p>
          <w:p>
            <w:pPr>
              <w:widowControl/>
              <w:spacing w:line="400" w:lineRule="exact"/>
              <w:jc w:val="center"/>
              <w:rPr>
                <w:rFonts w:hint="eastAsia" w:hAnsi="宋体" w:eastAsia="彩虹粗仿宋" w:cs="宋体"/>
                <w:color w:val="auto"/>
                <w:kern w:val="0"/>
                <w:sz w:val="24"/>
                <w:highlight w:val="none"/>
                <w:lang w:eastAsia="zh-CN"/>
              </w:rPr>
            </w:pPr>
            <w:r>
              <w:rPr>
                <w:rFonts w:hint="eastAsia" w:hAnsi="宋体" w:cs="宋体"/>
                <w:b/>
                <w:color w:val="auto"/>
                <w:kern w:val="0"/>
                <w:sz w:val="24"/>
                <w:highlight w:val="none"/>
                <w:lang w:eastAsia="zh-CN"/>
              </w:rPr>
              <w:t>及首席质量官</w:t>
            </w:r>
          </w:p>
        </w:tc>
        <w:tc>
          <w:tcPr>
            <w:tcW w:w="1798" w:type="pct"/>
            <w:noWrap/>
            <w:tcMar>
              <w:top w:w="0" w:type="dxa"/>
              <w:left w:w="105" w:type="dxa"/>
              <w:bottom w:w="0" w:type="dxa"/>
              <w:right w:w="105" w:type="dxa"/>
            </w:tcMar>
            <w:vAlign w:val="center"/>
          </w:tcPr>
          <w:p>
            <w:pPr>
              <w:widowControl/>
              <w:spacing w:line="400" w:lineRule="exact"/>
              <w:jc w:val="center"/>
              <w:rPr>
                <w:rFonts w:hAnsi="Arial" w:cs="Arial"/>
                <w:b/>
                <w:bCs/>
                <w:color w:val="auto"/>
                <w:kern w:val="0"/>
                <w:sz w:val="24"/>
                <w:highlight w:val="none"/>
              </w:rPr>
            </w:pPr>
            <w:r>
              <w:rPr>
                <w:rFonts w:hint="eastAsia" w:hAnsi="Arial" w:cs="Arial"/>
                <w:b/>
                <w:bCs/>
                <w:color w:val="auto"/>
                <w:kern w:val="0"/>
                <w:sz w:val="24"/>
                <w:highlight w:val="none"/>
              </w:rPr>
              <w:t>最高</w:t>
            </w:r>
            <w:r>
              <w:rPr>
                <w:rFonts w:hint="eastAsia" w:hAnsi="Arial" w:cs="Arial"/>
                <w:b/>
                <w:bCs/>
                <w:color w:val="auto"/>
                <w:kern w:val="0"/>
                <w:sz w:val="24"/>
                <w:highlight w:val="none"/>
                <w:lang w:val="en-US" w:eastAsia="zh-CN"/>
              </w:rPr>
              <w:t>3000</w:t>
            </w:r>
            <w:r>
              <w:rPr>
                <w:rFonts w:hint="eastAsia" w:hAnsi="Arial" w:cs="Arial"/>
                <w:b/>
                <w:bCs/>
                <w:color w:val="auto"/>
                <w:kern w:val="0"/>
                <w:sz w:val="24"/>
                <w:highlight w:val="none"/>
              </w:rPr>
              <w:t>万元</w:t>
            </w:r>
          </w:p>
        </w:tc>
        <w:tc>
          <w:tcPr>
            <w:tcW w:w="1674" w:type="pct"/>
            <w:noWrap/>
            <w:tcMar>
              <w:top w:w="0" w:type="dxa"/>
              <w:left w:w="105" w:type="dxa"/>
              <w:bottom w:w="0" w:type="dxa"/>
              <w:right w:w="105" w:type="dxa"/>
            </w:tcMar>
            <w:vAlign w:val="center"/>
          </w:tcPr>
          <w:p>
            <w:pPr>
              <w:widowControl/>
              <w:spacing w:line="400" w:lineRule="exact"/>
              <w:jc w:val="center"/>
              <w:rPr>
                <w:rFonts w:hint="eastAsia" w:hAnsi="Arial" w:eastAsia="彩虹粗仿宋" w:cs="Arial"/>
                <w:b/>
                <w:bCs/>
                <w:color w:val="auto"/>
                <w:kern w:val="0"/>
                <w:sz w:val="24"/>
                <w:highlight w:val="none"/>
                <w:lang w:val="en-US" w:eastAsia="zh-CN"/>
              </w:rPr>
            </w:pPr>
            <w:r>
              <w:rPr>
                <w:rFonts w:hint="eastAsia" w:hAnsi="Arial" w:cs="Arial"/>
                <w:b/>
                <w:bCs/>
                <w:color w:val="auto"/>
                <w:kern w:val="0"/>
                <w:sz w:val="24"/>
                <w:highlight w:val="none"/>
                <w:lang w:val="en-US" w:eastAsia="zh-CN"/>
              </w:rPr>
              <w:t>最低可至3.0%/年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 w:hRule="atLeast"/>
          <w:jc w:val="center"/>
        </w:trPr>
        <w:tc>
          <w:tcPr>
            <w:tcW w:w="1526" w:type="pct"/>
            <w:vAlign w:val="center"/>
          </w:tcPr>
          <w:p>
            <w:pPr>
              <w:widowControl/>
              <w:spacing w:line="400" w:lineRule="exact"/>
              <w:jc w:val="center"/>
              <w:rPr>
                <w:rFonts w:hint="default" w:hAnsi="宋体" w:eastAsia="彩虹粗仿宋" w:cs="宋体"/>
                <w:b/>
                <w:color w:val="auto"/>
                <w:kern w:val="0"/>
                <w:sz w:val="24"/>
                <w:highlight w:val="none"/>
                <w:lang w:val="en-US" w:eastAsia="zh-CN"/>
              </w:rPr>
            </w:pPr>
            <w:r>
              <w:rPr>
                <w:rFonts w:hint="eastAsia" w:hAnsi="宋体" w:cs="宋体"/>
                <w:b/>
                <w:color w:val="auto"/>
                <w:kern w:val="0"/>
                <w:sz w:val="24"/>
                <w:highlight w:val="none"/>
                <w:lang w:val="en-US" w:eastAsia="zh-CN"/>
              </w:rPr>
              <w:t>非以上类别企业</w:t>
            </w:r>
          </w:p>
        </w:tc>
        <w:tc>
          <w:tcPr>
            <w:tcW w:w="1798" w:type="pct"/>
            <w:noWrap/>
            <w:tcMar>
              <w:top w:w="0" w:type="dxa"/>
              <w:left w:w="105" w:type="dxa"/>
              <w:bottom w:w="0" w:type="dxa"/>
              <w:right w:w="105" w:type="dxa"/>
            </w:tcMar>
            <w:vAlign w:val="center"/>
          </w:tcPr>
          <w:p>
            <w:pPr>
              <w:widowControl/>
              <w:spacing w:line="400" w:lineRule="exact"/>
              <w:jc w:val="center"/>
              <w:rPr>
                <w:rFonts w:hint="default" w:hAnsi="Arial" w:eastAsia="彩虹粗仿宋" w:cs="Arial"/>
                <w:b/>
                <w:bCs/>
                <w:color w:val="auto"/>
                <w:kern w:val="0"/>
                <w:sz w:val="24"/>
                <w:highlight w:val="none"/>
                <w:lang w:val="en-US" w:eastAsia="zh-CN"/>
              </w:rPr>
            </w:pPr>
            <w:r>
              <w:rPr>
                <w:rFonts w:hint="eastAsia" w:hAnsi="Arial" w:cs="Arial"/>
                <w:b/>
                <w:bCs/>
                <w:color w:val="auto"/>
                <w:kern w:val="0"/>
                <w:sz w:val="24"/>
                <w:highlight w:val="none"/>
                <w:lang w:val="en-US" w:eastAsia="zh-CN"/>
              </w:rPr>
              <w:t>最高1000万元</w:t>
            </w:r>
          </w:p>
        </w:tc>
        <w:tc>
          <w:tcPr>
            <w:tcW w:w="1674" w:type="pct"/>
            <w:noWrap/>
            <w:tcMar>
              <w:top w:w="0" w:type="dxa"/>
              <w:left w:w="105" w:type="dxa"/>
              <w:bottom w:w="0" w:type="dxa"/>
              <w:right w:w="105" w:type="dxa"/>
            </w:tcMar>
            <w:vAlign w:val="center"/>
          </w:tcPr>
          <w:p>
            <w:pPr>
              <w:widowControl/>
              <w:spacing w:line="400" w:lineRule="exact"/>
              <w:jc w:val="center"/>
              <w:rPr>
                <w:rFonts w:hint="default" w:hAnsi="Arial" w:cs="Arial"/>
                <w:b/>
                <w:bCs/>
                <w:color w:val="auto"/>
                <w:kern w:val="0"/>
                <w:sz w:val="24"/>
                <w:highlight w:val="none"/>
                <w:lang w:val="en-US" w:eastAsia="zh-CN"/>
              </w:rPr>
            </w:pPr>
            <w:r>
              <w:rPr>
                <w:rFonts w:hint="eastAsia" w:hAnsi="Arial" w:cs="Arial"/>
                <w:b/>
                <w:bCs/>
                <w:color w:val="auto"/>
                <w:kern w:val="0"/>
                <w:sz w:val="24"/>
                <w:highlight w:val="none"/>
                <w:lang w:val="en-US" w:eastAsia="zh-CN"/>
              </w:rPr>
              <w:t>享受标准贷款利率</w:t>
            </w:r>
          </w:p>
        </w:tc>
      </w:tr>
    </w:tbl>
    <w:p>
      <w:pPr>
        <w:spacing w:line="240" w:lineRule="atLeast"/>
        <w:ind w:firstLine="640" w:firstLineChars="200"/>
        <w:rPr>
          <w:rFonts w:hint="eastAsia"/>
          <w:color w:val="auto"/>
          <w:highlight w:val="none"/>
        </w:rPr>
      </w:pPr>
    </w:p>
    <w:p>
      <w:pPr>
        <w:spacing w:line="240" w:lineRule="atLeast"/>
        <w:ind w:firstLine="640" w:firstLineChars="200"/>
        <w:rPr>
          <w:rFonts w:hint="eastAsia"/>
          <w:color w:val="auto"/>
          <w:szCs w:val="24"/>
          <w:highlight w:val="none"/>
          <w:lang w:val="en-US" w:eastAsia="zh-CN"/>
        </w:rPr>
      </w:pPr>
      <w:r>
        <w:rPr>
          <w:rFonts w:hint="eastAsia"/>
          <w:color w:val="auto"/>
          <w:szCs w:val="24"/>
          <w:highlight w:val="none"/>
          <w:lang w:val="en-US" w:eastAsia="zh-CN"/>
        </w:rPr>
        <w:t>2.融资主体申请担保贷款。根据品牌分类标准，由粤财普惠金融（江门）融资担保股份有限公司及合作银行（工商银行江门分行、农业银行江门分行、中国银行江门分行或开平农商银行）结合人民银行资金流信息平台提供的信息共同审定，给予增信服务、贷款利率下调及担保费率优惠等支持</w:t>
      </w:r>
      <w:r>
        <w:rPr>
          <w:rFonts w:hint="eastAsia"/>
          <w:color w:val="auto"/>
          <w:szCs w:val="24"/>
          <w:highlight w:val="none"/>
          <w:lang w:eastAsia="zh-CN"/>
        </w:rPr>
        <w:t>，</w:t>
      </w:r>
      <w:r>
        <w:rPr>
          <w:rFonts w:hint="eastAsia"/>
          <w:color w:val="auto"/>
          <w:szCs w:val="24"/>
          <w:highlight w:val="none"/>
          <w:lang w:val="en-US" w:eastAsia="zh-CN"/>
        </w:rPr>
        <w:t>主要内容如下：</w:t>
      </w:r>
    </w:p>
    <w:tbl>
      <w:tblPr>
        <w:tblStyle w:val="5"/>
        <w:tblW w:w="491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05"/>
        <w:gridCol w:w="2322"/>
        <w:gridCol w:w="2361"/>
        <w:gridCol w:w="1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3" w:hRule="atLeast"/>
          <w:jc w:val="center"/>
        </w:trPr>
        <w:tc>
          <w:tcPr>
            <w:tcW w:w="1078" w:type="pct"/>
            <w:noWrap/>
            <w:tcMar>
              <w:top w:w="0" w:type="dxa"/>
              <w:left w:w="105" w:type="dxa"/>
              <w:bottom w:w="0" w:type="dxa"/>
              <w:right w:w="105" w:type="dxa"/>
            </w:tcMar>
            <w:vAlign w:val="center"/>
          </w:tcPr>
          <w:p>
            <w:pPr>
              <w:widowControl/>
              <w:spacing w:line="400" w:lineRule="exact"/>
              <w:jc w:val="center"/>
              <w:rPr>
                <w:rFonts w:hAnsi="宋体" w:cs="宋体"/>
                <w:b/>
                <w:color w:val="auto"/>
                <w:kern w:val="0"/>
                <w:sz w:val="24"/>
                <w:highlight w:val="none"/>
              </w:rPr>
            </w:pPr>
            <w:r>
              <w:rPr>
                <w:rFonts w:hint="eastAsia" w:hAnsi="宋体" w:cs="宋体"/>
                <w:b/>
                <w:color w:val="auto"/>
                <w:kern w:val="0"/>
                <w:sz w:val="24"/>
                <w:highlight w:val="none"/>
              </w:rPr>
              <w:t>所属类别</w:t>
            </w:r>
          </w:p>
        </w:tc>
        <w:tc>
          <w:tcPr>
            <w:tcW w:w="1387" w:type="pct"/>
            <w:noWrap/>
            <w:tcMar>
              <w:top w:w="0" w:type="dxa"/>
              <w:left w:w="105" w:type="dxa"/>
              <w:bottom w:w="0" w:type="dxa"/>
              <w:right w:w="105" w:type="dxa"/>
            </w:tcMar>
            <w:vAlign w:val="center"/>
          </w:tcPr>
          <w:p>
            <w:pPr>
              <w:spacing w:line="400" w:lineRule="exact"/>
              <w:jc w:val="center"/>
              <w:rPr>
                <w:rFonts w:hAnsi="宋体" w:cs="宋体"/>
                <w:b/>
                <w:color w:val="auto"/>
                <w:kern w:val="0"/>
                <w:sz w:val="24"/>
                <w:highlight w:val="none"/>
              </w:rPr>
            </w:pPr>
            <w:r>
              <w:rPr>
                <w:rFonts w:hint="eastAsia" w:hAnsi="宋体" w:cs="宋体"/>
                <w:b/>
                <w:color w:val="auto"/>
                <w:kern w:val="0"/>
                <w:sz w:val="24"/>
                <w:highlight w:val="none"/>
                <w:lang w:val="en-US" w:eastAsia="zh-CN"/>
              </w:rPr>
              <w:t>担保</w:t>
            </w:r>
            <w:r>
              <w:rPr>
                <w:rFonts w:hint="eastAsia" w:hAnsi="宋体" w:cs="宋体"/>
                <w:b/>
                <w:color w:val="auto"/>
                <w:kern w:val="0"/>
                <w:sz w:val="24"/>
                <w:highlight w:val="none"/>
              </w:rPr>
              <w:t>金额</w:t>
            </w:r>
          </w:p>
        </w:tc>
        <w:tc>
          <w:tcPr>
            <w:tcW w:w="1410" w:type="pct"/>
            <w:noWrap/>
            <w:tcMar>
              <w:top w:w="0" w:type="dxa"/>
              <w:left w:w="105" w:type="dxa"/>
              <w:bottom w:w="0" w:type="dxa"/>
              <w:right w:w="105" w:type="dxa"/>
            </w:tcMar>
            <w:vAlign w:val="center"/>
          </w:tcPr>
          <w:p>
            <w:pPr>
              <w:widowControl/>
              <w:spacing w:line="400" w:lineRule="exact"/>
              <w:jc w:val="center"/>
              <w:rPr>
                <w:rFonts w:hint="default" w:hAnsi="Arial" w:cs="Arial"/>
                <w:b/>
                <w:bCs/>
                <w:color w:val="auto"/>
                <w:kern w:val="0"/>
                <w:sz w:val="24"/>
                <w:highlight w:val="none"/>
                <w:lang w:val="en-US" w:eastAsia="zh-CN"/>
              </w:rPr>
            </w:pPr>
            <w:r>
              <w:rPr>
                <w:rFonts w:hint="eastAsia" w:hAnsi="Arial" w:cs="Arial"/>
                <w:b/>
                <w:bCs/>
                <w:color w:val="auto"/>
                <w:kern w:val="0"/>
                <w:sz w:val="24"/>
                <w:highlight w:val="none"/>
                <w:lang w:val="en-US" w:eastAsia="zh-CN"/>
              </w:rPr>
              <w:t>贷款利率</w:t>
            </w:r>
          </w:p>
        </w:tc>
        <w:tc>
          <w:tcPr>
            <w:tcW w:w="1123" w:type="pct"/>
            <w:shd w:val="clear" w:color="auto" w:fill="auto"/>
            <w:noWrap/>
            <w:tcMar>
              <w:top w:w="0" w:type="dxa"/>
              <w:left w:w="105" w:type="dxa"/>
              <w:bottom w:w="0" w:type="dxa"/>
              <w:right w:w="105" w:type="dxa"/>
            </w:tcMar>
            <w:vAlign w:val="center"/>
          </w:tcPr>
          <w:p>
            <w:pPr>
              <w:widowControl/>
              <w:spacing w:line="400" w:lineRule="exact"/>
              <w:jc w:val="center"/>
              <w:rPr>
                <w:rFonts w:hint="eastAsia" w:hAnsi="Arial" w:cs="Arial"/>
                <w:b/>
                <w:bCs/>
                <w:color w:val="auto"/>
                <w:kern w:val="0"/>
                <w:sz w:val="24"/>
                <w:highlight w:val="none"/>
                <w:lang w:val="en-US" w:eastAsia="zh-CN"/>
              </w:rPr>
            </w:pPr>
            <w:r>
              <w:rPr>
                <w:rFonts w:hint="eastAsia" w:hAnsi="Arial" w:cs="Arial"/>
                <w:b/>
                <w:bCs/>
                <w:color w:val="auto"/>
                <w:kern w:val="0"/>
                <w:sz w:val="24"/>
                <w:highlight w:val="none"/>
              </w:rPr>
              <w:t>担保费率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 w:hRule="atLeast"/>
          <w:jc w:val="center"/>
        </w:trPr>
        <w:tc>
          <w:tcPr>
            <w:tcW w:w="1078" w:type="pct"/>
            <w:tcMar>
              <w:top w:w="0" w:type="dxa"/>
              <w:left w:w="105" w:type="dxa"/>
              <w:bottom w:w="0" w:type="dxa"/>
              <w:right w:w="105" w:type="dxa"/>
            </w:tcMar>
            <w:vAlign w:val="center"/>
          </w:tcPr>
          <w:p>
            <w:pPr>
              <w:widowControl/>
              <w:spacing w:line="400" w:lineRule="exact"/>
              <w:jc w:val="center"/>
              <w:rPr>
                <w:rFonts w:hAnsi="宋体" w:cs="宋体"/>
                <w:b/>
                <w:color w:val="auto"/>
                <w:kern w:val="0"/>
                <w:sz w:val="24"/>
                <w:highlight w:val="none"/>
              </w:rPr>
            </w:pPr>
            <w:r>
              <w:rPr>
                <w:rFonts w:hint="eastAsia" w:hAnsi="宋体" w:cs="宋体"/>
                <w:b/>
                <w:color w:val="auto"/>
                <w:kern w:val="0"/>
                <w:sz w:val="24"/>
                <w:highlight w:val="none"/>
              </w:rPr>
              <w:t>一类企业</w:t>
            </w:r>
          </w:p>
        </w:tc>
        <w:tc>
          <w:tcPr>
            <w:tcW w:w="1387" w:type="pct"/>
            <w:noWrap/>
            <w:tcMar>
              <w:top w:w="0" w:type="dxa"/>
              <w:left w:w="105" w:type="dxa"/>
              <w:bottom w:w="0" w:type="dxa"/>
              <w:right w:w="105" w:type="dxa"/>
            </w:tcMar>
            <w:vAlign w:val="center"/>
          </w:tcPr>
          <w:p>
            <w:pPr>
              <w:widowControl/>
              <w:spacing w:line="400" w:lineRule="exact"/>
              <w:jc w:val="center"/>
              <w:rPr>
                <w:rFonts w:hAnsi="Arial" w:cs="Arial"/>
                <w:b/>
                <w:bCs/>
                <w:color w:val="auto"/>
                <w:kern w:val="0"/>
                <w:sz w:val="24"/>
                <w:highlight w:val="none"/>
              </w:rPr>
            </w:pPr>
            <w:r>
              <w:rPr>
                <w:rFonts w:hint="eastAsia" w:hAnsi="Arial" w:cs="Arial"/>
                <w:b/>
                <w:bCs/>
                <w:color w:val="auto"/>
                <w:kern w:val="0"/>
                <w:sz w:val="24"/>
                <w:highlight w:val="none"/>
              </w:rPr>
              <w:t>最高</w:t>
            </w:r>
            <w:r>
              <w:rPr>
                <w:rFonts w:hint="eastAsia" w:hAnsi="Arial" w:cs="Arial"/>
                <w:b/>
                <w:bCs/>
                <w:color w:val="auto"/>
                <w:kern w:val="0"/>
                <w:sz w:val="24"/>
                <w:highlight w:val="none"/>
                <w:lang w:val="en-US" w:eastAsia="zh-CN"/>
              </w:rPr>
              <w:t>增信</w:t>
            </w:r>
            <w:r>
              <w:rPr>
                <w:rFonts w:hint="eastAsia" w:hAnsi="Arial" w:cs="Arial"/>
                <w:b/>
                <w:bCs/>
                <w:color w:val="auto"/>
                <w:kern w:val="0"/>
                <w:sz w:val="24"/>
                <w:highlight w:val="none"/>
              </w:rPr>
              <w:t>1000万元</w:t>
            </w:r>
          </w:p>
        </w:tc>
        <w:tc>
          <w:tcPr>
            <w:tcW w:w="1410" w:type="pct"/>
            <w:noWrap/>
            <w:tcMar>
              <w:top w:w="0" w:type="dxa"/>
              <w:left w:w="105" w:type="dxa"/>
              <w:bottom w:w="0" w:type="dxa"/>
              <w:right w:w="105" w:type="dxa"/>
            </w:tcMar>
            <w:vAlign w:val="center"/>
          </w:tcPr>
          <w:p>
            <w:pPr>
              <w:widowControl/>
              <w:spacing w:line="400" w:lineRule="exact"/>
              <w:jc w:val="center"/>
              <w:rPr>
                <w:rFonts w:hint="default" w:hAnsi="Arial" w:cs="Arial"/>
                <w:b/>
                <w:bCs/>
                <w:color w:val="auto"/>
                <w:kern w:val="0"/>
                <w:sz w:val="24"/>
                <w:highlight w:val="none"/>
                <w:lang w:val="en-US" w:eastAsia="zh-CN"/>
              </w:rPr>
            </w:pPr>
            <w:r>
              <w:rPr>
                <w:rFonts w:hint="eastAsia" w:hAnsi="Arial" w:cs="Arial"/>
                <w:b/>
                <w:bCs/>
                <w:color w:val="auto"/>
                <w:kern w:val="0"/>
                <w:sz w:val="24"/>
                <w:highlight w:val="none"/>
                <w:lang w:val="en-US" w:eastAsia="zh-CN"/>
              </w:rPr>
              <w:t>最低可至2.6%/年</w:t>
            </w:r>
          </w:p>
        </w:tc>
        <w:tc>
          <w:tcPr>
            <w:tcW w:w="1123" w:type="pct"/>
            <w:shd w:val="clear" w:color="auto" w:fill="auto"/>
            <w:noWrap/>
            <w:tcMar>
              <w:top w:w="0" w:type="dxa"/>
              <w:left w:w="105" w:type="dxa"/>
              <w:bottom w:w="0" w:type="dxa"/>
              <w:right w:w="105" w:type="dxa"/>
            </w:tcMar>
            <w:vAlign w:val="center"/>
          </w:tcPr>
          <w:p>
            <w:pPr>
              <w:widowControl/>
              <w:spacing w:line="400" w:lineRule="exact"/>
              <w:jc w:val="center"/>
              <w:rPr>
                <w:rFonts w:hint="eastAsia" w:hAnsi="Arial" w:cs="Arial"/>
                <w:b/>
                <w:bCs/>
                <w:color w:val="auto"/>
                <w:kern w:val="0"/>
                <w:sz w:val="24"/>
                <w:highlight w:val="none"/>
                <w:lang w:val="en-US" w:eastAsia="zh-CN"/>
              </w:rPr>
            </w:pPr>
            <w:r>
              <w:rPr>
                <w:rFonts w:hint="eastAsia" w:hAnsi="Arial" w:cs="Arial"/>
                <w:b/>
                <w:bCs/>
                <w:color w:val="auto"/>
                <w:kern w:val="0"/>
                <w:sz w:val="24"/>
                <w:highlight w:val="none"/>
                <w:lang w:val="en-US" w:eastAsia="zh-CN"/>
              </w:rPr>
              <w:t>平均费率0.4</w:t>
            </w:r>
            <w:r>
              <w:rPr>
                <w:rFonts w:hint="eastAsia" w:hAnsi="Arial" w:cs="Arial"/>
                <w:b/>
                <w:bCs/>
                <w:color w:val="auto"/>
                <w:kern w:val="0"/>
                <w:sz w:val="24"/>
                <w:highlight w:val="none"/>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 w:hRule="atLeast"/>
          <w:jc w:val="center"/>
        </w:trPr>
        <w:tc>
          <w:tcPr>
            <w:tcW w:w="1078" w:type="pct"/>
            <w:vAlign w:val="center"/>
          </w:tcPr>
          <w:p>
            <w:pPr>
              <w:widowControl/>
              <w:spacing w:line="400" w:lineRule="exact"/>
              <w:jc w:val="center"/>
              <w:rPr>
                <w:rFonts w:hAnsi="宋体" w:cs="宋体"/>
                <w:color w:val="000000" w:themeColor="text1"/>
                <w:kern w:val="0"/>
                <w:sz w:val="24"/>
                <w:highlight w:val="none"/>
                <w14:textFill>
                  <w14:solidFill>
                    <w14:schemeClr w14:val="tx1"/>
                  </w14:solidFill>
                </w14:textFill>
              </w:rPr>
            </w:pPr>
            <w:r>
              <w:rPr>
                <w:rFonts w:hint="eastAsia" w:hAnsi="宋体" w:cs="宋体"/>
                <w:b/>
                <w:color w:val="000000" w:themeColor="text1"/>
                <w:kern w:val="0"/>
                <w:sz w:val="24"/>
                <w:highlight w:val="none"/>
                <w14:textFill>
                  <w14:solidFill>
                    <w14:schemeClr w14:val="tx1"/>
                  </w14:solidFill>
                </w14:textFill>
              </w:rPr>
              <w:t>二类企业</w:t>
            </w:r>
          </w:p>
        </w:tc>
        <w:tc>
          <w:tcPr>
            <w:tcW w:w="1387" w:type="pct"/>
            <w:noWrap/>
            <w:tcMar>
              <w:top w:w="0" w:type="dxa"/>
              <w:left w:w="105" w:type="dxa"/>
              <w:bottom w:w="0" w:type="dxa"/>
              <w:right w:w="105" w:type="dxa"/>
            </w:tcMar>
            <w:vAlign w:val="center"/>
          </w:tcPr>
          <w:p>
            <w:pPr>
              <w:widowControl/>
              <w:spacing w:line="400" w:lineRule="exact"/>
              <w:jc w:val="center"/>
              <w:rPr>
                <w:rFonts w:hAnsi="Arial" w:cs="Arial"/>
                <w:b/>
                <w:bCs/>
                <w:color w:val="000000" w:themeColor="text1"/>
                <w:kern w:val="0"/>
                <w:sz w:val="24"/>
                <w:highlight w:val="none"/>
                <w14:textFill>
                  <w14:solidFill>
                    <w14:schemeClr w14:val="tx1"/>
                  </w14:solidFill>
                </w14:textFill>
              </w:rPr>
            </w:pPr>
            <w:r>
              <w:rPr>
                <w:rFonts w:hint="eastAsia" w:hAnsi="Arial" w:cs="Arial"/>
                <w:b/>
                <w:bCs/>
                <w:color w:val="000000" w:themeColor="text1"/>
                <w:kern w:val="0"/>
                <w:sz w:val="24"/>
                <w:highlight w:val="none"/>
                <w14:textFill>
                  <w14:solidFill>
                    <w14:schemeClr w14:val="tx1"/>
                  </w14:solidFill>
                </w14:textFill>
              </w:rPr>
              <w:t>最高</w:t>
            </w:r>
            <w:r>
              <w:rPr>
                <w:rFonts w:hint="eastAsia" w:hAnsi="Arial" w:cs="Arial"/>
                <w:b/>
                <w:bCs/>
                <w:color w:val="000000" w:themeColor="text1"/>
                <w:kern w:val="0"/>
                <w:sz w:val="24"/>
                <w:highlight w:val="none"/>
                <w:lang w:val="en-US" w:eastAsia="zh-CN"/>
                <w14:textFill>
                  <w14:solidFill>
                    <w14:schemeClr w14:val="tx1"/>
                  </w14:solidFill>
                </w14:textFill>
              </w:rPr>
              <w:t>增信10</w:t>
            </w:r>
            <w:r>
              <w:rPr>
                <w:rFonts w:hint="eastAsia" w:hAnsi="Arial" w:cs="Arial"/>
                <w:b/>
                <w:bCs/>
                <w:color w:val="000000" w:themeColor="text1"/>
                <w:kern w:val="0"/>
                <w:sz w:val="24"/>
                <w:highlight w:val="none"/>
                <w14:textFill>
                  <w14:solidFill>
                    <w14:schemeClr w14:val="tx1"/>
                  </w14:solidFill>
                </w14:textFill>
              </w:rPr>
              <w:t>00万元</w:t>
            </w:r>
          </w:p>
        </w:tc>
        <w:tc>
          <w:tcPr>
            <w:tcW w:w="1410" w:type="pct"/>
            <w:noWrap/>
            <w:tcMar>
              <w:top w:w="0" w:type="dxa"/>
              <w:left w:w="105" w:type="dxa"/>
              <w:bottom w:w="0" w:type="dxa"/>
              <w:right w:w="105" w:type="dxa"/>
            </w:tcMar>
            <w:vAlign w:val="center"/>
          </w:tcPr>
          <w:p>
            <w:pPr>
              <w:widowControl/>
              <w:spacing w:line="400" w:lineRule="exact"/>
              <w:jc w:val="center"/>
              <w:rPr>
                <w:rFonts w:hint="default" w:hAnsi="Arial" w:cs="Arial"/>
                <w:b/>
                <w:bCs/>
                <w:color w:val="auto"/>
                <w:kern w:val="0"/>
                <w:sz w:val="24"/>
                <w:highlight w:val="none"/>
                <w:lang w:val="en-US" w:eastAsia="zh-CN"/>
              </w:rPr>
            </w:pPr>
            <w:r>
              <w:rPr>
                <w:rFonts w:hint="eastAsia" w:hAnsi="Arial" w:cs="Arial"/>
                <w:b/>
                <w:bCs/>
                <w:color w:val="auto"/>
                <w:kern w:val="0"/>
                <w:sz w:val="24"/>
                <w:highlight w:val="none"/>
                <w:lang w:val="en-US" w:eastAsia="zh-CN"/>
              </w:rPr>
              <w:t>最低可至2.8%/年</w:t>
            </w:r>
          </w:p>
        </w:tc>
        <w:tc>
          <w:tcPr>
            <w:tcW w:w="1123" w:type="pct"/>
            <w:shd w:val="clear" w:color="auto" w:fill="auto"/>
            <w:noWrap/>
            <w:tcMar>
              <w:top w:w="0" w:type="dxa"/>
              <w:left w:w="105" w:type="dxa"/>
              <w:bottom w:w="0" w:type="dxa"/>
              <w:right w:w="105" w:type="dxa"/>
            </w:tcMar>
            <w:vAlign w:val="center"/>
          </w:tcPr>
          <w:p>
            <w:pPr>
              <w:widowControl/>
              <w:spacing w:line="400" w:lineRule="exact"/>
              <w:jc w:val="center"/>
              <w:rPr>
                <w:rFonts w:hint="eastAsia" w:hAnsi="Arial" w:cs="Arial"/>
                <w:b/>
                <w:bCs/>
                <w:color w:val="auto"/>
                <w:kern w:val="0"/>
                <w:sz w:val="24"/>
                <w:highlight w:val="none"/>
                <w:lang w:val="en-US" w:eastAsia="zh-CN"/>
              </w:rPr>
            </w:pPr>
            <w:r>
              <w:rPr>
                <w:rFonts w:hint="eastAsia" w:hAnsi="Arial" w:cs="Arial"/>
                <w:b/>
                <w:bCs/>
                <w:color w:val="auto"/>
                <w:kern w:val="0"/>
                <w:sz w:val="24"/>
                <w:highlight w:val="none"/>
                <w:lang w:val="en-US" w:eastAsia="zh-CN"/>
              </w:rPr>
              <w:t>平均费率0.6</w:t>
            </w:r>
            <w:r>
              <w:rPr>
                <w:rFonts w:hint="eastAsia" w:hAnsi="Arial" w:cs="Arial"/>
                <w:b/>
                <w:bCs/>
                <w:color w:val="auto"/>
                <w:kern w:val="0"/>
                <w:sz w:val="24"/>
                <w:highlight w:val="none"/>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 w:hRule="atLeast"/>
          <w:jc w:val="center"/>
        </w:trPr>
        <w:tc>
          <w:tcPr>
            <w:tcW w:w="1078" w:type="pct"/>
            <w:vAlign w:val="center"/>
          </w:tcPr>
          <w:p>
            <w:pPr>
              <w:widowControl/>
              <w:spacing w:line="400" w:lineRule="exact"/>
              <w:jc w:val="center"/>
              <w:rPr>
                <w:rFonts w:hint="eastAsia" w:hAnsi="宋体" w:eastAsia="彩虹粗仿宋" w:cs="宋体"/>
                <w:color w:val="auto"/>
                <w:kern w:val="0"/>
                <w:sz w:val="24"/>
                <w:highlight w:val="none"/>
                <w:lang w:eastAsia="zh-CN"/>
              </w:rPr>
            </w:pPr>
            <w:r>
              <w:rPr>
                <w:rFonts w:hint="eastAsia" w:hAnsi="宋体" w:cs="宋体"/>
                <w:b/>
                <w:color w:val="auto"/>
                <w:kern w:val="0"/>
                <w:sz w:val="24"/>
                <w:highlight w:val="none"/>
              </w:rPr>
              <w:t>三类企业</w:t>
            </w:r>
            <w:r>
              <w:rPr>
                <w:rFonts w:hint="eastAsia" w:hAnsi="宋体" w:cs="宋体"/>
                <w:b/>
                <w:color w:val="auto"/>
                <w:kern w:val="0"/>
                <w:sz w:val="24"/>
                <w:highlight w:val="none"/>
                <w:lang w:eastAsia="zh-CN"/>
              </w:rPr>
              <w:t>及首席质量官</w:t>
            </w:r>
          </w:p>
        </w:tc>
        <w:tc>
          <w:tcPr>
            <w:tcW w:w="1387" w:type="pct"/>
            <w:noWrap/>
            <w:tcMar>
              <w:top w:w="0" w:type="dxa"/>
              <w:left w:w="105" w:type="dxa"/>
              <w:bottom w:w="0" w:type="dxa"/>
              <w:right w:w="105" w:type="dxa"/>
            </w:tcMar>
            <w:vAlign w:val="center"/>
          </w:tcPr>
          <w:p>
            <w:pPr>
              <w:widowControl/>
              <w:spacing w:line="400" w:lineRule="exact"/>
              <w:jc w:val="center"/>
              <w:rPr>
                <w:rFonts w:hAnsi="Arial" w:cs="Arial"/>
                <w:b/>
                <w:bCs/>
                <w:color w:val="auto"/>
                <w:kern w:val="0"/>
                <w:sz w:val="24"/>
                <w:highlight w:val="none"/>
              </w:rPr>
            </w:pPr>
            <w:r>
              <w:rPr>
                <w:rFonts w:hint="eastAsia" w:hAnsi="Arial" w:cs="Arial"/>
                <w:b/>
                <w:bCs/>
                <w:color w:val="auto"/>
                <w:kern w:val="0"/>
                <w:sz w:val="24"/>
                <w:highlight w:val="none"/>
              </w:rPr>
              <w:t>最高</w:t>
            </w:r>
            <w:r>
              <w:rPr>
                <w:rFonts w:hint="eastAsia" w:hAnsi="Arial" w:cs="Arial"/>
                <w:b/>
                <w:bCs/>
                <w:color w:val="auto"/>
                <w:kern w:val="0"/>
                <w:sz w:val="24"/>
                <w:highlight w:val="none"/>
                <w:lang w:val="en-US" w:eastAsia="zh-CN"/>
              </w:rPr>
              <w:t>增信8</w:t>
            </w:r>
            <w:r>
              <w:rPr>
                <w:rFonts w:hint="eastAsia" w:hAnsi="Arial" w:cs="Arial"/>
                <w:b/>
                <w:bCs/>
                <w:color w:val="auto"/>
                <w:kern w:val="0"/>
                <w:sz w:val="24"/>
                <w:highlight w:val="none"/>
              </w:rPr>
              <w:t>00万元</w:t>
            </w:r>
          </w:p>
        </w:tc>
        <w:tc>
          <w:tcPr>
            <w:tcW w:w="1410" w:type="pct"/>
            <w:noWrap/>
            <w:tcMar>
              <w:top w:w="0" w:type="dxa"/>
              <w:left w:w="105" w:type="dxa"/>
              <w:bottom w:w="0" w:type="dxa"/>
              <w:right w:w="105" w:type="dxa"/>
            </w:tcMar>
            <w:vAlign w:val="center"/>
          </w:tcPr>
          <w:p>
            <w:pPr>
              <w:widowControl/>
              <w:spacing w:line="400" w:lineRule="exact"/>
              <w:jc w:val="center"/>
              <w:rPr>
                <w:rFonts w:hint="default" w:hAnsi="Arial" w:cs="Arial"/>
                <w:b/>
                <w:bCs/>
                <w:color w:val="auto"/>
                <w:kern w:val="0"/>
                <w:sz w:val="24"/>
                <w:highlight w:val="none"/>
                <w:lang w:val="en-US" w:eastAsia="zh-CN"/>
              </w:rPr>
            </w:pPr>
            <w:r>
              <w:rPr>
                <w:rFonts w:hint="eastAsia" w:hAnsi="Arial" w:cs="Arial"/>
                <w:b/>
                <w:bCs/>
                <w:color w:val="auto"/>
                <w:kern w:val="0"/>
                <w:sz w:val="24"/>
                <w:highlight w:val="none"/>
                <w:lang w:val="en-US" w:eastAsia="zh-CN"/>
              </w:rPr>
              <w:t>最低可至3.0%/年</w:t>
            </w:r>
          </w:p>
        </w:tc>
        <w:tc>
          <w:tcPr>
            <w:tcW w:w="1123" w:type="pct"/>
            <w:shd w:val="clear" w:color="auto" w:fill="auto"/>
            <w:noWrap/>
            <w:tcMar>
              <w:top w:w="0" w:type="dxa"/>
              <w:left w:w="105" w:type="dxa"/>
              <w:bottom w:w="0" w:type="dxa"/>
              <w:right w:w="105" w:type="dxa"/>
            </w:tcMar>
            <w:vAlign w:val="center"/>
          </w:tcPr>
          <w:p>
            <w:pPr>
              <w:widowControl/>
              <w:spacing w:line="400" w:lineRule="exact"/>
              <w:jc w:val="center"/>
              <w:rPr>
                <w:rFonts w:hint="eastAsia" w:hAnsi="Arial" w:cs="Arial"/>
                <w:b/>
                <w:bCs/>
                <w:color w:val="auto"/>
                <w:kern w:val="0"/>
                <w:sz w:val="24"/>
                <w:highlight w:val="none"/>
                <w:lang w:val="en-US" w:eastAsia="zh-CN"/>
              </w:rPr>
            </w:pPr>
            <w:r>
              <w:rPr>
                <w:rFonts w:hint="eastAsia" w:hAnsi="Arial" w:cs="Arial"/>
                <w:b/>
                <w:bCs/>
                <w:color w:val="auto"/>
                <w:kern w:val="0"/>
                <w:sz w:val="24"/>
                <w:highlight w:val="none"/>
                <w:lang w:val="en-US" w:eastAsia="zh-CN"/>
              </w:rPr>
              <w:t>平均费率0.7</w:t>
            </w:r>
            <w:r>
              <w:rPr>
                <w:rFonts w:hint="eastAsia" w:hAnsi="Arial" w:cs="Arial"/>
                <w:b/>
                <w:bCs/>
                <w:color w:val="auto"/>
                <w:kern w:val="0"/>
                <w:sz w:val="24"/>
                <w:highlight w:val="none"/>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 w:hRule="atLeast"/>
          <w:jc w:val="center"/>
        </w:trPr>
        <w:tc>
          <w:tcPr>
            <w:tcW w:w="1078" w:type="pct"/>
            <w:vAlign w:val="center"/>
          </w:tcPr>
          <w:p>
            <w:pPr>
              <w:widowControl/>
              <w:spacing w:line="400" w:lineRule="exact"/>
              <w:jc w:val="center"/>
              <w:rPr>
                <w:rFonts w:hint="default" w:hAnsi="宋体" w:eastAsia="彩虹粗仿宋" w:cs="宋体"/>
                <w:b/>
                <w:color w:val="auto"/>
                <w:kern w:val="0"/>
                <w:sz w:val="24"/>
                <w:highlight w:val="none"/>
                <w:lang w:val="en-US" w:eastAsia="zh-CN"/>
              </w:rPr>
            </w:pPr>
            <w:r>
              <w:rPr>
                <w:rFonts w:hint="eastAsia" w:hAnsi="宋体" w:cs="宋体"/>
                <w:b/>
                <w:color w:val="auto"/>
                <w:kern w:val="0"/>
                <w:sz w:val="24"/>
                <w:highlight w:val="none"/>
                <w:lang w:val="en-US" w:eastAsia="zh-CN"/>
              </w:rPr>
              <w:t>非以上类别企业</w:t>
            </w:r>
          </w:p>
        </w:tc>
        <w:tc>
          <w:tcPr>
            <w:tcW w:w="1387" w:type="pct"/>
            <w:noWrap/>
            <w:tcMar>
              <w:top w:w="0" w:type="dxa"/>
              <w:left w:w="105" w:type="dxa"/>
              <w:bottom w:w="0" w:type="dxa"/>
              <w:right w:w="105" w:type="dxa"/>
            </w:tcMar>
            <w:vAlign w:val="center"/>
          </w:tcPr>
          <w:p>
            <w:pPr>
              <w:widowControl/>
              <w:spacing w:line="400" w:lineRule="exact"/>
              <w:jc w:val="center"/>
              <w:rPr>
                <w:rFonts w:hint="default" w:hAnsi="Arial" w:eastAsia="彩虹粗仿宋" w:cs="Arial"/>
                <w:b/>
                <w:bCs/>
                <w:color w:val="auto"/>
                <w:kern w:val="0"/>
                <w:sz w:val="24"/>
                <w:highlight w:val="none"/>
                <w:lang w:val="en-US" w:eastAsia="zh-CN"/>
              </w:rPr>
            </w:pPr>
            <w:r>
              <w:rPr>
                <w:rFonts w:hint="eastAsia" w:hAnsi="Arial" w:cs="Arial"/>
                <w:b/>
                <w:bCs/>
                <w:color w:val="auto"/>
                <w:kern w:val="0"/>
                <w:sz w:val="24"/>
                <w:highlight w:val="none"/>
              </w:rPr>
              <w:t>最高</w:t>
            </w:r>
            <w:r>
              <w:rPr>
                <w:rFonts w:hint="eastAsia" w:hAnsi="Arial" w:cs="Arial"/>
                <w:b/>
                <w:bCs/>
                <w:color w:val="auto"/>
                <w:kern w:val="0"/>
                <w:sz w:val="24"/>
                <w:highlight w:val="none"/>
                <w:lang w:val="en-US" w:eastAsia="zh-CN"/>
              </w:rPr>
              <w:t>增信500万元</w:t>
            </w:r>
          </w:p>
        </w:tc>
        <w:tc>
          <w:tcPr>
            <w:tcW w:w="1410" w:type="pct"/>
            <w:noWrap/>
            <w:tcMar>
              <w:top w:w="0" w:type="dxa"/>
              <w:left w:w="105" w:type="dxa"/>
              <w:bottom w:w="0" w:type="dxa"/>
              <w:right w:w="105" w:type="dxa"/>
            </w:tcMar>
            <w:vAlign w:val="center"/>
          </w:tcPr>
          <w:p>
            <w:pPr>
              <w:widowControl/>
              <w:spacing w:line="400" w:lineRule="exact"/>
              <w:jc w:val="center"/>
              <w:rPr>
                <w:rFonts w:hint="default" w:hAnsi="Arial" w:cs="Arial"/>
                <w:b/>
                <w:bCs/>
                <w:color w:val="auto"/>
                <w:kern w:val="0"/>
                <w:sz w:val="24"/>
                <w:highlight w:val="none"/>
                <w:lang w:val="en-US" w:eastAsia="zh-CN"/>
              </w:rPr>
            </w:pPr>
            <w:r>
              <w:rPr>
                <w:rFonts w:hint="eastAsia" w:hAnsi="Arial" w:cs="Arial"/>
                <w:b/>
                <w:bCs/>
                <w:color w:val="auto"/>
                <w:kern w:val="0"/>
                <w:sz w:val="24"/>
                <w:highlight w:val="none"/>
                <w:lang w:val="en-US" w:eastAsia="zh-CN"/>
              </w:rPr>
              <w:t>享受普惠贷款利率</w:t>
            </w:r>
          </w:p>
        </w:tc>
        <w:tc>
          <w:tcPr>
            <w:tcW w:w="1123" w:type="pct"/>
            <w:shd w:val="clear" w:color="auto" w:fill="auto"/>
            <w:noWrap/>
            <w:tcMar>
              <w:top w:w="0" w:type="dxa"/>
              <w:left w:w="105" w:type="dxa"/>
              <w:bottom w:w="0" w:type="dxa"/>
              <w:right w:w="105" w:type="dxa"/>
            </w:tcMar>
            <w:vAlign w:val="center"/>
          </w:tcPr>
          <w:p>
            <w:pPr>
              <w:widowControl/>
              <w:spacing w:line="400" w:lineRule="exact"/>
              <w:jc w:val="center"/>
              <w:rPr>
                <w:rFonts w:hint="default" w:hAnsi="Arial" w:cs="Arial"/>
                <w:b/>
                <w:bCs/>
                <w:color w:val="auto"/>
                <w:kern w:val="0"/>
                <w:sz w:val="24"/>
                <w:highlight w:val="none"/>
                <w:lang w:val="en-US" w:eastAsia="zh-CN"/>
              </w:rPr>
            </w:pPr>
            <w:r>
              <w:rPr>
                <w:rFonts w:hint="eastAsia" w:hAnsi="Arial" w:cs="Arial"/>
                <w:b/>
                <w:bCs/>
                <w:color w:val="auto"/>
                <w:kern w:val="0"/>
                <w:sz w:val="24"/>
                <w:highlight w:val="none"/>
                <w:lang w:val="en-US" w:eastAsia="zh-CN"/>
              </w:rPr>
              <w:t>0.9</w:t>
            </w:r>
            <w:r>
              <w:rPr>
                <w:rFonts w:hint="eastAsia" w:hAnsi="Arial" w:cs="Arial"/>
                <w:b/>
                <w:bCs/>
                <w:color w:val="auto"/>
                <w:kern w:val="0"/>
                <w:sz w:val="24"/>
                <w:highlight w:val="none"/>
              </w:rPr>
              <w:t>%/年</w:t>
            </w:r>
          </w:p>
        </w:tc>
      </w:tr>
    </w:tbl>
    <w:p>
      <w:pPr>
        <w:spacing w:line="240" w:lineRule="atLeast"/>
        <w:ind w:firstLine="480" w:firstLineChars="200"/>
        <w:rPr>
          <w:rFonts w:hint="default"/>
          <w:bCs w:val="0"/>
          <w:color w:val="auto"/>
          <w:szCs w:val="24"/>
          <w:highlight w:val="none"/>
          <w:lang w:val="en-US" w:eastAsia="zh-CN"/>
        </w:rPr>
      </w:pPr>
      <w:r>
        <w:rPr>
          <w:rFonts w:hint="eastAsia"/>
          <w:color w:val="auto"/>
          <w:sz w:val="24"/>
          <w:highlight w:val="none"/>
          <w:lang w:val="en-US" w:eastAsia="zh-CN"/>
        </w:rPr>
        <w:t>说明：融资主体总融资金额不能超过第二条第（四）项所列单户融资额度。</w:t>
      </w:r>
    </w:p>
    <w:p>
      <w:pPr>
        <w:numPr>
          <w:ilvl w:val="0"/>
          <w:numId w:val="0"/>
        </w:numPr>
        <w:ind w:firstLine="640" w:firstLineChars="200"/>
        <w:rPr>
          <w:rFonts w:hint="eastAsia"/>
          <w:bCs w:val="0"/>
          <w:color w:val="auto"/>
          <w:szCs w:val="24"/>
          <w:highlight w:val="none"/>
          <w:lang w:val="en-US" w:eastAsia="zh-CN"/>
        </w:rPr>
      </w:pPr>
      <w:r>
        <w:rPr>
          <w:rFonts w:hint="eastAsia"/>
          <w:color w:val="auto"/>
          <w:szCs w:val="24"/>
          <w:highlight w:val="none"/>
        </w:rPr>
        <w:t>贷款利率按照风险收益匹配原则，综合考虑客户经营规模、业务要素、市场情况、同业水平、综合收益等与</w:t>
      </w:r>
      <w:r>
        <w:rPr>
          <w:rFonts w:hint="eastAsia"/>
          <w:color w:val="auto"/>
          <w:szCs w:val="24"/>
          <w:highlight w:val="none"/>
          <w:lang w:eastAsia="zh-CN"/>
        </w:rPr>
        <w:t>服务对象</w:t>
      </w:r>
      <w:r>
        <w:rPr>
          <w:rFonts w:hint="eastAsia"/>
          <w:color w:val="auto"/>
          <w:szCs w:val="24"/>
          <w:highlight w:val="none"/>
        </w:rPr>
        <w:t>谈判确定。</w:t>
      </w:r>
      <w:r>
        <w:rPr>
          <w:rFonts w:hint="eastAsia"/>
          <w:color w:val="auto"/>
          <w:highlight w:val="none"/>
        </w:rPr>
        <w:t>单个企业具体担保授信融资金额、利率、期限等以银行审批结果及与客户签署的具体业务合同约定为准。</w:t>
      </w:r>
    </w:p>
    <w:p>
      <w:pPr>
        <w:numPr>
          <w:ilvl w:val="0"/>
          <w:numId w:val="0"/>
        </w:numPr>
        <w:ind w:firstLine="640" w:firstLineChars="200"/>
        <w:rPr>
          <w:rFonts w:hint="default" w:hAnsi="彩虹粗仿宋"/>
          <w:bCs w:val="0"/>
          <w:color w:val="auto"/>
          <w:szCs w:val="24"/>
          <w:highlight w:val="none"/>
          <w:lang w:val="en-US" w:eastAsia="zh-CN"/>
        </w:rPr>
      </w:pPr>
      <w:r>
        <w:rPr>
          <w:rFonts w:hint="eastAsia"/>
          <w:bCs w:val="0"/>
          <w:color w:val="auto"/>
          <w:szCs w:val="24"/>
          <w:highlight w:val="none"/>
          <w:lang w:val="en-US" w:eastAsia="zh-CN"/>
        </w:rPr>
        <w:t>服务对象</w:t>
      </w:r>
      <w:r>
        <w:rPr>
          <w:rFonts w:hint="eastAsia" w:hAnsi="彩虹粗仿宋"/>
          <w:bCs w:val="0"/>
          <w:color w:val="auto"/>
          <w:szCs w:val="24"/>
          <w:highlight w:val="none"/>
        </w:rPr>
        <w:t>同时符合知识产权贴息补助、专精特新企业贴息补助等政策要求的，可同时享受知识产权贴息补助、专精特新企业贴息补助等贷款优惠。</w:t>
      </w:r>
    </w:p>
    <w:p>
      <w:pPr>
        <w:ind w:firstLine="640" w:firstLineChars="200"/>
        <w:rPr>
          <w:rFonts w:ascii="彩虹黑体" w:eastAsia="彩虹黑体"/>
          <w:color w:val="auto"/>
          <w:highlight w:val="none"/>
        </w:rPr>
      </w:pPr>
      <w:r>
        <w:rPr>
          <w:rFonts w:hint="eastAsia" w:ascii="彩虹黑体" w:eastAsia="彩虹黑体"/>
          <w:color w:val="auto"/>
          <w:highlight w:val="none"/>
        </w:rPr>
        <w:t>（二）专属管理</w:t>
      </w:r>
    </w:p>
    <w:p>
      <w:pPr>
        <w:spacing w:line="240" w:lineRule="atLeast"/>
        <w:ind w:firstLine="640" w:firstLineChars="200"/>
        <w:rPr>
          <w:rFonts w:hint="eastAsia" w:hAnsi="Calibri" w:cs="宋体"/>
          <w:color w:val="auto"/>
          <w:szCs w:val="32"/>
          <w:highlight w:val="none"/>
          <w:lang w:val="en-US" w:eastAsia="zh-CN"/>
        </w:rPr>
      </w:pPr>
      <w:r>
        <w:rPr>
          <w:rFonts w:hint="eastAsia"/>
          <w:color w:val="auto"/>
          <w:highlight w:val="none"/>
        </w:rPr>
        <w:t>本方案实行名单</w:t>
      </w:r>
      <w:r>
        <w:rPr>
          <w:rFonts w:hint="eastAsia"/>
          <w:color w:val="auto"/>
          <w:highlight w:val="none"/>
          <w:lang w:eastAsia="zh-CN"/>
        </w:rPr>
        <w:t>制</w:t>
      </w:r>
      <w:r>
        <w:rPr>
          <w:rFonts w:hint="eastAsia"/>
          <w:color w:val="auto"/>
          <w:highlight w:val="none"/>
        </w:rPr>
        <w:t>管理，纳入</w:t>
      </w:r>
      <w:r>
        <w:rPr>
          <w:rFonts w:hint="eastAsia"/>
          <w:color w:val="000000" w:themeColor="text1"/>
          <w:highlight w:val="none"/>
          <w:lang w:eastAsia="zh-CN"/>
          <w14:textFill>
            <w14:solidFill>
              <w14:schemeClr w14:val="tx1"/>
            </w14:solidFill>
          </w14:textFill>
        </w:rPr>
        <w:t>本方案</w:t>
      </w:r>
      <w:r>
        <w:rPr>
          <w:rFonts w:hint="eastAsia"/>
          <w:color w:val="auto"/>
          <w:highlight w:val="none"/>
        </w:rPr>
        <w:t>质量品牌荣誉企业</w:t>
      </w:r>
      <w:r>
        <w:rPr>
          <w:rFonts w:hint="eastAsia"/>
          <w:color w:val="auto"/>
          <w:highlight w:val="none"/>
          <w:lang w:val="en-US" w:eastAsia="zh-CN"/>
        </w:rPr>
        <w:t>名</w:t>
      </w:r>
      <w:r>
        <w:rPr>
          <w:rFonts w:hint="eastAsia"/>
          <w:color w:val="auto"/>
          <w:highlight w:val="none"/>
        </w:rPr>
        <w:t>单内的客户可按本方案</w:t>
      </w:r>
      <w:r>
        <w:rPr>
          <w:rFonts w:hint="eastAsia"/>
          <w:color w:val="auto"/>
          <w:highlight w:val="none"/>
          <w:lang w:val="en-US" w:eastAsia="zh-CN"/>
        </w:rPr>
        <w:t>申请</w:t>
      </w:r>
      <w:r>
        <w:rPr>
          <w:rFonts w:hint="eastAsia" w:hAnsi="Calibri" w:cs="宋体"/>
          <w:color w:val="auto"/>
          <w:szCs w:val="32"/>
          <w:highlight w:val="none"/>
        </w:rPr>
        <w:t>贷款业务</w:t>
      </w:r>
      <w:r>
        <w:rPr>
          <w:rFonts w:hint="eastAsia" w:hAnsi="Calibri" w:cs="宋体"/>
          <w:color w:val="auto"/>
          <w:szCs w:val="32"/>
          <w:highlight w:val="none"/>
          <w:lang w:eastAsia="zh-CN"/>
        </w:rPr>
        <w:t>，</w:t>
      </w:r>
      <w:r>
        <w:rPr>
          <w:rFonts w:hint="eastAsia" w:hAnsi="Calibri" w:cs="宋体"/>
          <w:color w:val="auto"/>
          <w:szCs w:val="32"/>
          <w:highlight w:val="none"/>
          <w:lang w:val="en-US" w:eastAsia="zh-CN"/>
        </w:rPr>
        <w:t>并享受以下专属管理服务：</w:t>
      </w:r>
    </w:p>
    <w:p>
      <w:pPr>
        <w:numPr>
          <w:ilvl w:val="0"/>
          <w:numId w:val="1"/>
        </w:numPr>
        <w:spacing w:line="240" w:lineRule="atLeast"/>
        <w:ind w:firstLine="640" w:firstLineChars="200"/>
        <w:rPr>
          <w:rFonts w:ascii="彩虹黑体" w:eastAsia="彩虹黑体"/>
          <w:b/>
          <w:bCs/>
          <w:color w:val="auto"/>
          <w:highlight w:val="none"/>
        </w:rPr>
      </w:pPr>
      <w:r>
        <w:rPr>
          <w:rFonts w:hint="eastAsia"/>
          <w:color w:val="auto"/>
          <w:highlight w:val="none"/>
          <w:lang w:val="en-US" w:eastAsia="zh-CN"/>
        </w:rPr>
        <w:t>享受免保证金政策；</w:t>
      </w:r>
    </w:p>
    <w:p>
      <w:pPr>
        <w:numPr>
          <w:ilvl w:val="0"/>
          <w:numId w:val="1"/>
        </w:numPr>
        <w:spacing w:line="240" w:lineRule="atLeast"/>
        <w:ind w:firstLine="640" w:firstLineChars="200"/>
        <w:rPr>
          <w:rFonts w:hint="eastAsia"/>
          <w:color w:val="auto"/>
          <w:highlight w:val="none"/>
          <w:lang w:val="en-US" w:eastAsia="zh-CN"/>
        </w:rPr>
      </w:pPr>
      <w:r>
        <w:rPr>
          <w:rFonts w:hint="eastAsia"/>
          <w:color w:val="auto"/>
          <w:highlight w:val="none"/>
        </w:rPr>
        <w:t>贷款期限最长可达5年</w:t>
      </w:r>
      <w:r>
        <w:rPr>
          <w:rFonts w:hint="eastAsia"/>
          <w:color w:val="auto"/>
          <w:highlight w:val="none"/>
          <w:lang w:eastAsia="zh-CN"/>
        </w:rPr>
        <w:t>；</w:t>
      </w:r>
    </w:p>
    <w:p>
      <w:pPr>
        <w:numPr>
          <w:ilvl w:val="0"/>
          <w:numId w:val="1"/>
        </w:numPr>
        <w:spacing w:line="240" w:lineRule="atLeast"/>
        <w:ind w:firstLine="640" w:firstLineChars="200"/>
        <w:rPr>
          <w:rFonts w:hint="eastAsia"/>
          <w:color w:val="auto"/>
          <w:highlight w:val="none"/>
          <w:lang w:val="en-US" w:eastAsia="zh-CN"/>
        </w:rPr>
      </w:pPr>
      <w:r>
        <w:rPr>
          <w:rFonts w:hint="eastAsia"/>
          <w:color w:val="auto"/>
          <w:highlight w:val="none"/>
          <w:lang w:val="en-US" w:eastAsia="zh-CN"/>
        </w:rPr>
        <w:t>原则上提前还款不收违约金或手续费；</w:t>
      </w:r>
    </w:p>
    <w:p>
      <w:pPr>
        <w:numPr>
          <w:ilvl w:val="0"/>
          <w:numId w:val="1"/>
        </w:numPr>
        <w:spacing w:line="240" w:lineRule="atLeast"/>
        <w:ind w:firstLine="640" w:firstLineChars="200"/>
        <w:rPr>
          <w:rFonts w:hAnsi="Calibri" w:cs="宋体"/>
          <w:color w:val="auto"/>
          <w:szCs w:val="32"/>
          <w:highlight w:val="none"/>
        </w:rPr>
      </w:pPr>
      <w:r>
        <w:rPr>
          <w:rFonts w:hint="eastAsia"/>
          <w:color w:val="auto"/>
          <w:highlight w:val="none"/>
          <w:lang w:val="en-US" w:eastAsia="zh-CN"/>
        </w:rPr>
        <w:t>原则上一年期客户可享受先息后本政策；</w:t>
      </w:r>
    </w:p>
    <w:p>
      <w:pPr>
        <w:numPr>
          <w:ilvl w:val="0"/>
          <w:numId w:val="1"/>
        </w:numPr>
        <w:spacing w:line="240" w:lineRule="atLeast"/>
        <w:ind w:firstLine="640" w:firstLineChars="200"/>
        <w:rPr>
          <w:rFonts w:hAnsi="Calibri" w:cs="宋体"/>
          <w:color w:val="auto"/>
          <w:szCs w:val="32"/>
          <w:highlight w:val="none"/>
        </w:rPr>
      </w:pPr>
      <w:r>
        <w:rPr>
          <w:rFonts w:hint="eastAsia"/>
          <w:color w:val="auto"/>
          <w:highlight w:val="none"/>
          <w:lang w:val="en-US" w:eastAsia="zh-CN"/>
        </w:rPr>
        <w:t>享受代发工资客户年费优惠；</w:t>
      </w:r>
    </w:p>
    <w:p>
      <w:pPr>
        <w:numPr>
          <w:ilvl w:val="0"/>
          <w:numId w:val="1"/>
        </w:numPr>
        <w:spacing w:line="240" w:lineRule="atLeast"/>
        <w:ind w:firstLine="640" w:firstLineChars="200"/>
        <w:rPr>
          <w:rFonts w:hAnsi="Calibri" w:cs="宋体"/>
          <w:color w:val="auto"/>
          <w:szCs w:val="32"/>
          <w:highlight w:val="none"/>
        </w:rPr>
      </w:pPr>
      <w:r>
        <w:rPr>
          <w:rFonts w:hint="eastAsia"/>
          <w:color w:val="auto"/>
          <w:highlight w:val="none"/>
          <w:lang w:val="en-US" w:eastAsia="zh-CN"/>
        </w:rPr>
        <w:t>享受账户管理费优惠</w:t>
      </w:r>
      <w:r>
        <w:rPr>
          <w:rFonts w:hint="eastAsia" w:hAnsi="Calibri" w:cs="宋体"/>
          <w:color w:val="auto"/>
          <w:szCs w:val="32"/>
          <w:highlight w:val="none"/>
        </w:rPr>
        <w:t>。</w:t>
      </w:r>
    </w:p>
    <w:p>
      <w:pPr>
        <w:numPr>
          <w:ilvl w:val="-1"/>
          <w:numId w:val="0"/>
        </w:numPr>
        <w:spacing w:line="240" w:lineRule="atLeast"/>
        <w:ind w:firstLine="640" w:firstLineChars="200"/>
        <w:rPr>
          <w:rFonts w:hAnsi="Calibri" w:cs="宋体"/>
          <w:color w:val="auto"/>
          <w:szCs w:val="32"/>
          <w:highlight w:val="none"/>
        </w:rPr>
      </w:pPr>
      <w:r>
        <w:rPr>
          <w:rFonts w:hint="eastAsia" w:hAnsi="Calibri" w:cs="宋体"/>
          <w:color w:val="auto"/>
          <w:szCs w:val="32"/>
          <w:highlight w:val="none"/>
        </w:rPr>
        <w:t>贷款产品包括但不限于：</w:t>
      </w:r>
    </w:p>
    <w:p>
      <w:pPr>
        <w:spacing w:line="240" w:lineRule="atLeast"/>
        <w:ind w:firstLine="640" w:firstLineChars="200"/>
        <w:rPr>
          <w:rFonts w:hint="eastAsia" w:hAnsi="Calibri" w:cs="宋体"/>
          <w:color w:val="auto"/>
          <w:szCs w:val="32"/>
          <w:highlight w:val="none"/>
          <w:lang w:eastAsia="zh-CN"/>
        </w:rPr>
      </w:pPr>
      <w:r>
        <w:rPr>
          <w:rFonts w:hint="eastAsia" w:hAnsi="Calibri" w:cs="宋体"/>
          <w:color w:val="auto"/>
          <w:szCs w:val="32"/>
          <w:highlight w:val="none"/>
          <w:lang w:val="en-US" w:eastAsia="zh-CN"/>
        </w:rPr>
        <w:t>1.</w:t>
      </w:r>
      <w:r>
        <w:rPr>
          <w:rFonts w:hint="eastAsia" w:hAnsi="Calibri" w:cs="宋体"/>
          <w:color w:val="auto"/>
          <w:szCs w:val="32"/>
          <w:highlight w:val="none"/>
        </w:rPr>
        <w:t>流动资金贷款</w:t>
      </w:r>
      <w:r>
        <w:rPr>
          <w:rFonts w:hint="eastAsia" w:hAnsi="Calibri" w:cs="宋体"/>
          <w:color w:val="auto"/>
          <w:szCs w:val="32"/>
          <w:highlight w:val="none"/>
          <w:lang w:eastAsia="zh-CN"/>
        </w:rPr>
        <w:t>；</w:t>
      </w:r>
    </w:p>
    <w:p>
      <w:pPr>
        <w:spacing w:line="240" w:lineRule="atLeast"/>
        <w:ind w:firstLine="640" w:firstLineChars="200"/>
        <w:rPr>
          <w:rFonts w:hint="eastAsia" w:hAnsi="Calibri" w:cs="宋体"/>
          <w:color w:val="auto"/>
          <w:szCs w:val="32"/>
          <w:highlight w:val="none"/>
          <w:lang w:eastAsia="zh-CN"/>
        </w:rPr>
      </w:pPr>
      <w:r>
        <w:rPr>
          <w:rFonts w:hint="eastAsia" w:hAnsi="Calibri" w:cs="宋体"/>
          <w:color w:val="auto"/>
          <w:szCs w:val="32"/>
          <w:highlight w:val="none"/>
          <w:lang w:val="en-US" w:eastAsia="zh-CN"/>
        </w:rPr>
        <w:t>2.</w:t>
      </w:r>
      <w:r>
        <w:rPr>
          <w:rFonts w:hint="eastAsia" w:hAnsi="Calibri" w:cs="宋体"/>
          <w:color w:val="auto"/>
          <w:szCs w:val="32"/>
          <w:highlight w:val="none"/>
        </w:rPr>
        <w:t>固定资产贷款</w:t>
      </w:r>
      <w:r>
        <w:rPr>
          <w:rFonts w:hint="eastAsia" w:hAnsi="Calibri" w:cs="宋体"/>
          <w:color w:val="auto"/>
          <w:szCs w:val="32"/>
          <w:highlight w:val="none"/>
          <w:lang w:eastAsia="zh-CN"/>
        </w:rPr>
        <w:t>；</w:t>
      </w:r>
    </w:p>
    <w:p>
      <w:pPr>
        <w:spacing w:line="240" w:lineRule="atLeast"/>
        <w:ind w:firstLine="640" w:firstLineChars="200"/>
        <w:rPr>
          <w:rFonts w:hint="eastAsia" w:hAnsi="Calibri" w:cs="宋体"/>
          <w:color w:val="auto"/>
          <w:szCs w:val="32"/>
          <w:highlight w:val="none"/>
          <w:lang w:eastAsia="zh-CN"/>
        </w:rPr>
      </w:pPr>
      <w:r>
        <w:rPr>
          <w:rFonts w:hint="eastAsia" w:hAnsi="Calibri" w:cs="宋体"/>
          <w:color w:val="auto"/>
          <w:szCs w:val="32"/>
          <w:highlight w:val="none"/>
          <w:lang w:val="en-US" w:eastAsia="zh-CN"/>
        </w:rPr>
        <w:t>3.</w:t>
      </w:r>
      <w:r>
        <w:rPr>
          <w:rFonts w:hint="eastAsia" w:hAnsi="Calibri" w:cs="宋体"/>
          <w:color w:val="auto"/>
          <w:szCs w:val="32"/>
          <w:highlight w:val="none"/>
        </w:rPr>
        <w:t>银行承兑业务</w:t>
      </w:r>
      <w:r>
        <w:rPr>
          <w:rFonts w:hint="eastAsia" w:hAnsi="Calibri" w:cs="宋体"/>
          <w:color w:val="auto"/>
          <w:szCs w:val="32"/>
          <w:highlight w:val="none"/>
          <w:lang w:eastAsia="zh-CN"/>
        </w:rPr>
        <w:t>；</w:t>
      </w:r>
    </w:p>
    <w:p>
      <w:pPr>
        <w:spacing w:line="240" w:lineRule="atLeast"/>
        <w:ind w:firstLine="640" w:firstLineChars="200"/>
        <w:rPr>
          <w:rFonts w:hint="eastAsia" w:hAnsi="Calibri" w:cs="宋体"/>
          <w:color w:val="auto"/>
          <w:szCs w:val="32"/>
          <w:highlight w:val="none"/>
          <w:lang w:eastAsia="zh-CN"/>
        </w:rPr>
      </w:pPr>
      <w:r>
        <w:rPr>
          <w:rFonts w:hint="eastAsia" w:hAnsi="Calibri" w:cs="宋体"/>
          <w:color w:val="auto"/>
          <w:szCs w:val="32"/>
          <w:highlight w:val="none"/>
          <w:lang w:val="en-US" w:eastAsia="zh-CN"/>
        </w:rPr>
        <w:t>4.</w:t>
      </w:r>
      <w:r>
        <w:rPr>
          <w:rFonts w:hint="eastAsia" w:hAnsi="Calibri" w:cs="宋体"/>
          <w:color w:val="auto"/>
          <w:szCs w:val="32"/>
          <w:highlight w:val="none"/>
        </w:rPr>
        <w:t>开立非融性担保函业务</w:t>
      </w:r>
      <w:r>
        <w:rPr>
          <w:rFonts w:hint="eastAsia" w:hAnsi="Calibri" w:cs="宋体"/>
          <w:color w:val="auto"/>
          <w:szCs w:val="32"/>
          <w:highlight w:val="none"/>
          <w:lang w:eastAsia="zh-CN"/>
        </w:rPr>
        <w:t>；</w:t>
      </w:r>
    </w:p>
    <w:p>
      <w:pPr>
        <w:spacing w:line="240" w:lineRule="atLeast"/>
        <w:ind w:firstLine="640" w:firstLineChars="200"/>
        <w:rPr>
          <w:rFonts w:hint="eastAsia" w:hAnsi="Calibri" w:cs="宋体"/>
          <w:color w:val="auto"/>
          <w:szCs w:val="32"/>
          <w:highlight w:val="none"/>
          <w:lang w:eastAsia="zh-CN"/>
        </w:rPr>
      </w:pPr>
      <w:r>
        <w:rPr>
          <w:rFonts w:hint="eastAsia" w:hAnsi="Calibri" w:cs="宋体"/>
          <w:color w:val="auto"/>
          <w:szCs w:val="32"/>
          <w:highlight w:val="none"/>
          <w:lang w:val="en-US" w:eastAsia="zh-CN"/>
        </w:rPr>
        <w:t>5.</w:t>
      </w:r>
      <w:r>
        <w:rPr>
          <w:rFonts w:hint="eastAsia" w:hAnsi="Calibri" w:cs="宋体"/>
          <w:color w:val="auto"/>
          <w:szCs w:val="32"/>
          <w:highlight w:val="none"/>
        </w:rPr>
        <w:t>合作银行及担保公司一致认可的其他表内外业务</w:t>
      </w:r>
      <w:r>
        <w:rPr>
          <w:rFonts w:hint="eastAsia" w:hAnsi="Calibri" w:cs="宋体"/>
          <w:color w:val="auto"/>
          <w:szCs w:val="32"/>
          <w:highlight w:val="none"/>
          <w:lang w:eastAsia="zh-CN"/>
        </w:rPr>
        <w:t>。</w:t>
      </w:r>
    </w:p>
    <w:p>
      <w:pPr>
        <w:ind w:firstLine="640" w:firstLineChars="200"/>
        <w:rPr>
          <w:rFonts w:hint="eastAsia"/>
          <w:color w:val="auto"/>
          <w:highlight w:val="none"/>
        </w:rPr>
      </w:pPr>
      <w:r>
        <w:rPr>
          <w:rFonts w:hint="eastAsia"/>
          <w:color w:val="auto"/>
          <w:highlight w:val="none"/>
        </w:rPr>
        <w:t>“侨都质量贷”质量品牌荣誉企业名单</w:t>
      </w:r>
      <w:r>
        <w:rPr>
          <w:color w:val="auto"/>
          <w:highlight w:val="none"/>
        </w:rPr>
        <w:t>实行动态管理</w:t>
      </w:r>
      <w:r>
        <w:rPr>
          <w:rFonts w:hint="eastAsia"/>
          <w:color w:val="auto"/>
          <w:highlight w:val="none"/>
        </w:rPr>
        <w:t>，每年更新</w:t>
      </w:r>
      <w:r>
        <w:rPr>
          <w:rFonts w:hint="eastAsia"/>
          <w:color w:val="auto"/>
          <w:highlight w:val="none"/>
          <w:lang w:eastAsia="zh-CN"/>
        </w:rPr>
        <w:t>一次</w:t>
      </w:r>
      <w:r>
        <w:rPr>
          <w:rFonts w:hint="eastAsia"/>
          <w:color w:val="auto"/>
          <w:highlight w:val="none"/>
        </w:rPr>
        <w:t>，由江门市市场监督管理局更新</w:t>
      </w:r>
      <w:r>
        <w:rPr>
          <w:rFonts w:hint="eastAsia"/>
          <w:color w:val="auto"/>
          <w:highlight w:val="none"/>
          <w:lang w:eastAsia="zh-CN"/>
        </w:rPr>
        <w:t>并</w:t>
      </w:r>
      <w:r>
        <w:rPr>
          <w:rFonts w:hint="eastAsia"/>
          <w:color w:val="auto"/>
          <w:highlight w:val="none"/>
        </w:rPr>
        <w:t>对外发布。</w:t>
      </w:r>
    </w:p>
    <w:p>
      <w:pPr>
        <w:spacing w:line="560" w:lineRule="exact"/>
        <w:ind w:firstLine="640" w:firstLineChars="200"/>
        <w:rPr>
          <w:rFonts w:ascii="彩虹黑体" w:hAnsi="宋体" w:eastAsia="彩虹黑体"/>
          <w:color w:val="auto"/>
          <w:szCs w:val="32"/>
          <w:highlight w:val="none"/>
        </w:rPr>
      </w:pPr>
      <w:r>
        <w:rPr>
          <w:rFonts w:hint="eastAsia" w:ascii="彩虹黑体" w:hAnsi="宋体" w:eastAsia="彩虹黑体"/>
          <w:color w:val="auto"/>
          <w:szCs w:val="32"/>
          <w:highlight w:val="none"/>
        </w:rPr>
        <w:t>（三）专属绿色通道</w:t>
      </w:r>
    </w:p>
    <w:p>
      <w:pPr>
        <w:spacing w:line="560" w:lineRule="exact"/>
        <w:ind w:firstLine="640" w:firstLineChars="200"/>
        <w:rPr>
          <w:rFonts w:ascii="彩虹黑体" w:hAnsi="宋体" w:eastAsia="彩虹黑体"/>
          <w:color w:val="auto"/>
          <w:szCs w:val="32"/>
          <w:highlight w:val="none"/>
        </w:rPr>
      </w:pPr>
      <w:r>
        <w:rPr>
          <w:rFonts w:hint="eastAsia" w:ascii="彩虹黑体" w:hAnsi="宋体" w:eastAsia="彩虹黑体"/>
          <w:color w:val="auto"/>
          <w:szCs w:val="32"/>
          <w:highlight w:val="none"/>
        </w:rPr>
        <w:t>为支持</w:t>
      </w:r>
      <w:r>
        <w:rPr>
          <w:rFonts w:hint="eastAsia"/>
          <w:color w:val="auto"/>
          <w:highlight w:val="none"/>
        </w:rPr>
        <w:t>“侨都质量贷”质量品牌荣誉企业</w:t>
      </w:r>
      <w:r>
        <w:rPr>
          <w:rFonts w:hint="eastAsia" w:ascii="彩虹黑体" w:hAnsi="宋体" w:eastAsia="彩虹黑体"/>
          <w:color w:val="auto"/>
          <w:szCs w:val="32"/>
          <w:highlight w:val="none"/>
        </w:rPr>
        <w:t>，本方案设置绿色金融服务，提升服务质量和审批效率，促进</w:t>
      </w:r>
      <w:r>
        <w:rPr>
          <w:rFonts w:hint="eastAsia" w:ascii="彩虹黑体" w:hAnsi="宋体" w:eastAsia="彩虹黑体"/>
          <w:color w:val="auto"/>
          <w:szCs w:val="32"/>
          <w:highlight w:val="none"/>
          <w:lang w:val="en-US" w:eastAsia="zh-CN"/>
        </w:rPr>
        <w:t>贷款</w:t>
      </w:r>
      <w:r>
        <w:rPr>
          <w:rFonts w:hint="eastAsia" w:ascii="彩虹黑体" w:hAnsi="宋体" w:eastAsia="彩虹黑体"/>
          <w:color w:val="auto"/>
          <w:szCs w:val="32"/>
          <w:highlight w:val="none"/>
        </w:rPr>
        <w:t>业务快速落地。</w:t>
      </w:r>
    </w:p>
    <w:p>
      <w:pPr>
        <w:ind w:firstLine="640" w:firstLineChars="200"/>
        <w:rPr>
          <w:color w:val="auto"/>
          <w:highlight w:val="none"/>
        </w:rPr>
      </w:pPr>
      <w:r>
        <w:rPr>
          <w:rFonts w:hint="eastAsia"/>
          <w:color w:val="auto"/>
          <w:highlight w:val="none"/>
        </w:rPr>
        <w:t>1、专属服务人员。配备经验丰富的客户经理，提供一对一服务，全程跟进。</w:t>
      </w:r>
    </w:p>
    <w:p>
      <w:pPr>
        <w:ind w:firstLine="640" w:firstLineChars="200"/>
        <w:rPr>
          <w:color w:val="auto"/>
          <w:highlight w:val="none"/>
        </w:rPr>
      </w:pPr>
      <w:r>
        <w:rPr>
          <w:rFonts w:hint="eastAsia"/>
          <w:color w:val="auto"/>
          <w:highlight w:val="none"/>
        </w:rPr>
        <w:t>2、简化审批流程。精简申请材料，减少不必要的环节；逐步推广线上审批，实现“数据多跑路，客户少跑腿”。</w:t>
      </w:r>
    </w:p>
    <w:p>
      <w:pPr>
        <w:ind w:firstLine="640" w:firstLineChars="200"/>
        <w:rPr>
          <w:rFonts w:hint="eastAsia"/>
          <w:color w:val="auto"/>
          <w:highlight w:val="none"/>
        </w:rPr>
      </w:pPr>
      <w:r>
        <w:rPr>
          <w:rFonts w:hint="eastAsia"/>
          <w:color w:val="auto"/>
          <w:highlight w:val="none"/>
        </w:rPr>
        <w:t>3、提高审批效率。设立快速审批通道，优先处理优质客户业务。申请资料齐备的情况下，最快两个工作日出具审批结果。</w:t>
      </w:r>
    </w:p>
    <w:p>
      <w:pPr>
        <w:ind w:firstLine="640" w:firstLineChars="200"/>
        <w:rPr>
          <w:rFonts w:hint="eastAsia"/>
          <w:color w:val="auto"/>
          <w:highlight w:val="none"/>
        </w:rPr>
      </w:pPr>
    </w:p>
    <w:p>
      <w:pPr>
        <w:numPr>
          <w:ilvl w:val="0"/>
          <w:numId w:val="2"/>
        </w:numPr>
        <w:ind w:firstLine="640" w:firstLineChars="200"/>
        <w:rPr>
          <w:rFonts w:ascii="彩虹黑体" w:eastAsia="彩虹黑体"/>
          <w:b/>
          <w:bCs/>
          <w:color w:val="auto"/>
          <w:highlight w:val="none"/>
        </w:rPr>
      </w:pPr>
      <w:r>
        <w:rPr>
          <w:rFonts w:hint="eastAsia" w:ascii="彩虹黑体" w:eastAsia="彩虹黑体"/>
          <w:b/>
          <w:bCs/>
          <w:color w:val="auto"/>
          <w:highlight w:val="none"/>
        </w:rPr>
        <w:t>增值金融服务</w:t>
      </w:r>
    </w:p>
    <w:p>
      <w:pPr>
        <w:spacing w:line="240" w:lineRule="atLeast"/>
        <w:ind w:firstLine="640" w:firstLineChars="200"/>
        <w:rPr>
          <w:rFonts w:hint="eastAsia"/>
          <w:color w:val="auto"/>
          <w:highlight w:val="none"/>
        </w:rPr>
      </w:pPr>
      <w:r>
        <w:rPr>
          <w:rFonts w:hint="eastAsia"/>
          <w:color w:val="auto"/>
          <w:highlight w:val="none"/>
        </w:rPr>
        <w:t>推动股权、基金、债券等金融政策工具组合发力，结合基金、金融租赁、股权投资等板块对优质质量品牌企业提供多元化金融服务。充分利用各项金融业务优惠政策，在价值评估、金融服务条件、后续管理等各环节加强创新。可提供的服务包括但不限于：</w:t>
      </w:r>
    </w:p>
    <w:p>
      <w:pPr>
        <w:spacing w:line="240" w:lineRule="atLeast"/>
        <w:ind w:firstLine="640" w:firstLineChars="200"/>
        <w:rPr>
          <w:rFonts w:hint="eastAsia" w:eastAsia="微软雅黑"/>
          <w:color w:val="auto"/>
          <w:highlight w:val="none"/>
          <w:lang w:eastAsia="zh-CN"/>
        </w:rPr>
      </w:pPr>
      <w:r>
        <w:rPr>
          <w:rFonts w:hint="eastAsia"/>
          <w:color w:val="auto"/>
          <w:highlight w:val="none"/>
          <w:lang w:eastAsia="zh-CN"/>
        </w:rPr>
        <w:t>（</w:t>
      </w:r>
      <w:r>
        <w:rPr>
          <w:rFonts w:hint="eastAsia"/>
          <w:color w:val="auto"/>
          <w:highlight w:val="none"/>
          <w:lang w:val="en-US" w:eastAsia="zh-CN"/>
        </w:rPr>
        <w:t>一</w:t>
      </w:r>
      <w:r>
        <w:rPr>
          <w:rFonts w:hint="eastAsia"/>
          <w:color w:val="auto"/>
          <w:highlight w:val="none"/>
          <w:lang w:eastAsia="zh-CN"/>
        </w:rPr>
        <w:t>）</w:t>
      </w:r>
      <w:r>
        <w:rPr>
          <w:rFonts w:hint="eastAsia"/>
          <w:color w:val="auto"/>
          <w:highlight w:val="none"/>
          <w:lang w:val="en-US" w:eastAsia="zh-CN"/>
        </w:rPr>
        <w:t>提供人民银行</w:t>
      </w:r>
      <w:r>
        <w:rPr>
          <w:rFonts w:hint="eastAsia" w:ascii="彩虹粗仿宋" w:hAnsi="彩虹粗仿宋" w:eastAsia="彩虹粗仿宋" w:cs="Times New Roman"/>
          <w:i w:val="0"/>
          <w:iCs w:val="0"/>
          <w:caps w:val="0"/>
          <w:color w:val="auto"/>
          <w:spacing w:val="0"/>
          <w:sz w:val="32"/>
          <w:szCs w:val="24"/>
          <w:highlight w:val="none"/>
          <w:shd w:val="clear"/>
        </w:rPr>
        <w:t>资金流信用信息平台与线上信用类贷款模型的全面对接，</w:t>
      </w:r>
      <w:r>
        <w:rPr>
          <w:rFonts w:hint="eastAsia" w:cs="Times New Roman"/>
          <w:i w:val="0"/>
          <w:iCs w:val="0"/>
          <w:caps w:val="0"/>
          <w:color w:val="auto"/>
          <w:spacing w:val="0"/>
          <w:sz w:val="32"/>
          <w:szCs w:val="24"/>
          <w:highlight w:val="none"/>
          <w:shd w:val="clear"/>
          <w:lang w:val="en-US" w:eastAsia="zh-CN"/>
        </w:rPr>
        <w:t>服务对象</w:t>
      </w:r>
      <w:r>
        <w:rPr>
          <w:rFonts w:hint="eastAsia" w:ascii="彩虹粗仿宋" w:hAnsi="彩虹粗仿宋" w:eastAsia="彩虹粗仿宋" w:cs="Times New Roman"/>
          <w:i w:val="0"/>
          <w:iCs w:val="0"/>
          <w:caps w:val="0"/>
          <w:color w:val="auto"/>
          <w:spacing w:val="0"/>
          <w:sz w:val="32"/>
          <w:szCs w:val="24"/>
          <w:highlight w:val="none"/>
          <w:shd w:val="clear"/>
        </w:rPr>
        <w:t>在申请贷款时可同步完成人行共享平台授权确认，系统自动发起信用报告及资金明细查询，实现贷款审批流程的“一站式”办理</w:t>
      </w:r>
      <w:r>
        <w:rPr>
          <w:rFonts w:hint="eastAsia" w:ascii="彩虹粗仿宋" w:hAnsi="彩虹粗仿宋" w:eastAsia="彩虹粗仿宋" w:cs="Times New Roman"/>
          <w:i w:val="0"/>
          <w:iCs w:val="0"/>
          <w:caps w:val="0"/>
          <w:color w:val="auto"/>
          <w:spacing w:val="0"/>
          <w:sz w:val="32"/>
          <w:szCs w:val="24"/>
          <w:highlight w:val="none"/>
          <w:shd w:val="clear"/>
          <w:lang w:eastAsia="zh-CN"/>
        </w:rPr>
        <w:t>，</w:t>
      </w:r>
      <w:r>
        <w:rPr>
          <w:rFonts w:hint="eastAsia" w:ascii="彩虹粗仿宋" w:hAnsi="彩虹粗仿宋" w:eastAsia="彩虹粗仿宋" w:cs="Times New Roman"/>
          <w:i w:val="0"/>
          <w:iCs w:val="0"/>
          <w:caps w:val="0"/>
          <w:color w:val="auto"/>
          <w:spacing w:val="0"/>
          <w:sz w:val="32"/>
          <w:szCs w:val="24"/>
          <w:highlight w:val="none"/>
          <w:shd w:val="clear"/>
        </w:rPr>
        <w:t>提升融资服务效率</w:t>
      </w:r>
      <w:r>
        <w:rPr>
          <w:rFonts w:hint="eastAsia" w:ascii="彩虹粗仿宋" w:hAnsi="彩虹粗仿宋" w:eastAsia="彩虹粗仿宋" w:cs="Times New Roman"/>
          <w:i w:val="0"/>
          <w:iCs w:val="0"/>
          <w:caps w:val="0"/>
          <w:color w:val="auto"/>
          <w:spacing w:val="0"/>
          <w:sz w:val="32"/>
          <w:szCs w:val="24"/>
          <w:highlight w:val="none"/>
          <w:shd w:val="clear"/>
          <w:lang w:eastAsia="zh-CN"/>
        </w:rPr>
        <w:t>。</w:t>
      </w:r>
    </w:p>
    <w:p>
      <w:pPr>
        <w:spacing w:line="240" w:lineRule="atLeast"/>
        <w:ind w:firstLine="640" w:firstLineChars="200"/>
        <w:rPr>
          <w:rFonts w:hint="eastAsia" w:eastAsia="彩虹粗仿宋"/>
          <w:color w:val="auto"/>
          <w:highlight w:val="none"/>
          <w:lang w:eastAsia="zh-CN"/>
        </w:rPr>
      </w:pPr>
      <w:r>
        <w:rPr>
          <w:rFonts w:hint="eastAsia"/>
          <w:color w:val="auto"/>
          <w:highlight w:val="none"/>
          <w:lang w:eastAsia="zh-CN"/>
        </w:rPr>
        <w:t>（</w:t>
      </w:r>
      <w:r>
        <w:rPr>
          <w:rFonts w:hint="eastAsia"/>
          <w:color w:val="auto"/>
          <w:highlight w:val="none"/>
          <w:lang w:val="en-US" w:eastAsia="zh-CN"/>
        </w:rPr>
        <w:t>二</w:t>
      </w:r>
      <w:r>
        <w:rPr>
          <w:rFonts w:hint="eastAsia"/>
          <w:color w:val="auto"/>
          <w:highlight w:val="none"/>
          <w:lang w:eastAsia="zh-CN"/>
        </w:rPr>
        <w:t>）</w:t>
      </w:r>
      <w:r>
        <w:rPr>
          <w:rFonts w:hint="eastAsia"/>
          <w:color w:val="auto"/>
          <w:highlight w:val="none"/>
        </w:rPr>
        <w:t>提供信托理财服务，为江门市重大项目、重大基础设施建设、产业园区建设、上市公司、中小企业、绿色节能环保等提供多样化金融服务</w:t>
      </w:r>
      <w:r>
        <w:rPr>
          <w:rFonts w:hint="eastAsia"/>
          <w:color w:val="auto"/>
          <w:highlight w:val="none"/>
          <w:lang w:eastAsia="zh-CN"/>
        </w:rPr>
        <w:t>。</w:t>
      </w:r>
    </w:p>
    <w:p>
      <w:pPr>
        <w:spacing w:line="240" w:lineRule="atLeast"/>
        <w:ind w:firstLine="640" w:firstLineChars="200"/>
        <w:rPr>
          <w:rFonts w:hint="eastAsia" w:eastAsia="彩虹粗仿宋"/>
          <w:color w:val="auto"/>
          <w:highlight w:val="none"/>
          <w:lang w:eastAsia="zh-CN"/>
        </w:rPr>
      </w:pPr>
      <w:r>
        <w:rPr>
          <w:rFonts w:hint="eastAsia"/>
          <w:color w:val="auto"/>
          <w:highlight w:val="none"/>
          <w:lang w:eastAsia="zh-CN"/>
        </w:rPr>
        <w:t>（</w:t>
      </w:r>
      <w:r>
        <w:rPr>
          <w:rFonts w:hint="eastAsia"/>
          <w:color w:val="auto"/>
          <w:highlight w:val="none"/>
          <w:lang w:val="en-US" w:eastAsia="zh-CN"/>
        </w:rPr>
        <w:t>三</w:t>
      </w:r>
      <w:r>
        <w:rPr>
          <w:rFonts w:hint="eastAsia"/>
          <w:color w:val="auto"/>
          <w:highlight w:val="none"/>
          <w:lang w:eastAsia="zh-CN"/>
        </w:rPr>
        <w:t>）</w:t>
      </w:r>
      <w:r>
        <w:rPr>
          <w:rFonts w:hint="eastAsia"/>
          <w:color w:val="auto"/>
          <w:highlight w:val="none"/>
        </w:rPr>
        <w:t>提供资产管理服务，包括实质性债务重组、破产重整（含上市公司）、法拍资产重构等投行化业务</w:t>
      </w:r>
      <w:r>
        <w:rPr>
          <w:rFonts w:hint="eastAsia"/>
          <w:color w:val="auto"/>
          <w:highlight w:val="none"/>
          <w:lang w:eastAsia="zh-CN"/>
        </w:rPr>
        <w:t>。</w:t>
      </w:r>
    </w:p>
    <w:p>
      <w:pPr>
        <w:spacing w:line="240" w:lineRule="atLeast"/>
        <w:ind w:firstLine="640" w:firstLineChars="200"/>
        <w:rPr>
          <w:rFonts w:hint="eastAsia" w:eastAsia="彩虹粗仿宋"/>
          <w:color w:val="auto"/>
          <w:highlight w:val="none"/>
          <w:lang w:eastAsia="zh-CN"/>
        </w:rPr>
      </w:pPr>
      <w:r>
        <w:rPr>
          <w:rFonts w:hint="eastAsia"/>
          <w:color w:val="auto"/>
          <w:highlight w:val="none"/>
          <w:lang w:eastAsia="zh-CN"/>
        </w:rPr>
        <w:t>（</w:t>
      </w:r>
      <w:r>
        <w:rPr>
          <w:rFonts w:hint="eastAsia"/>
          <w:color w:val="auto"/>
          <w:highlight w:val="none"/>
          <w:lang w:val="en-US" w:eastAsia="zh-CN"/>
        </w:rPr>
        <w:t>四</w:t>
      </w:r>
      <w:r>
        <w:rPr>
          <w:rFonts w:hint="eastAsia"/>
          <w:color w:val="auto"/>
          <w:highlight w:val="none"/>
          <w:lang w:eastAsia="zh-CN"/>
        </w:rPr>
        <w:t>）</w:t>
      </w:r>
      <w:r>
        <w:rPr>
          <w:rFonts w:hint="eastAsia"/>
          <w:color w:val="auto"/>
          <w:highlight w:val="none"/>
        </w:rPr>
        <w:t>提供金融租赁服务，支持粤港澳大湾区建设，聚焦节能环保、智能装备、5G基建、公用民生、交通物流和现代农业等特色领域展业</w:t>
      </w:r>
      <w:r>
        <w:rPr>
          <w:rFonts w:hint="eastAsia"/>
          <w:color w:val="auto"/>
          <w:highlight w:val="none"/>
          <w:lang w:eastAsia="zh-CN"/>
        </w:rPr>
        <w:t>。</w:t>
      </w:r>
    </w:p>
    <w:p>
      <w:pPr>
        <w:spacing w:line="240" w:lineRule="atLeast"/>
        <w:ind w:firstLine="640" w:firstLineChars="200"/>
        <w:rPr>
          <w:rFonts w:hint="eastAsia" w:eastAsia="彩虹粗仿宋"/>
          <w:color w:val="auto"/>
          <w:highlight w:val="none"/>
          <w:lang w:eastAsia="zh-CN"/>
        </w:rPr>
      </w:pPr>
      <w:r>
        <w:rPr>
          <w:rFonts w:hint="eastAsia"/>
          <w:color w:val="auto"/>
          <w:highlight w:val="none"/>
          <w:lang w:eastAsia="zh-CN"/>
        </w:rPr>
        <w:t>（</w:t>
      </w:r>
      <w:r>
        <w:rPr>
          <w:rFonts w:hint="eastAsia"/>
          <w:color w:val="auto"/>
          <w:highlight w:val="none"/>
          <w:lang w:val="en-US" w:eastAsia="zh-CN"/>
        </w:rPr>
        <w:t>五</w:t>
      </w:r>
      <w:r>
        <w:rPr>
          <w:rFonts w:hint="eastAsia"/>
          <w:color w:val="auto"/>
          <w:highlight w:val="none"/>
          <w:lang w:eastAsia="zh-CN"/>
        </w:rPr>
        <w:t>）</w:t>
      </w:r>
      <w:r>
        <w:rPr>
          <w:rFonts w:hint="eastAsia"/>
          <w:color w:val="auto"/>
          <w:highlight w:val="none"/>
        </w:rPr>
        <w:t>提供基金投资服务，聚焦智能制造、半导体/集成电路、数字经济、新能源/碳中和等产业领域，按照“链主+专精特新”策略开展精准投资</w:t>
      </w:r>
      <w:r>
        <w:rPr>
          <w:rFonts w:hint="eastAsia"/>
          <w:color w:val="auto"/>
          <w:highlight w:val="none"/>
          <w:lang w:eastAsia="zh-CN"/>
        </w:rPr>
        <w:t>。</w:t>
      </w:r>
    </w:p>
    <w:p>
      <w:pPr>
        <w:spacing w:line="240" w:lineRule="atLeast"/>
        <w:ind w:firstLine="640" w:firstLineChars="200"/>
        <w:rPr>
          <w:rFonts w:hint="eastAsia" w:eastAsia="彩虹粗仿宋"/>
          <w:color w:val="auto"/>
          <w:highlight w:val="none"/>
          <w:lang w:eastAsia="zh-CN"/>
        </w:rPr>
      </w:pPr>
      <w:bookmarkStart w:id="0" w:name="_GoBack"/>
      <w:bookmarkEnd w:id="0"/>
      <w:r>
        <w:rPr>
          <w:rFonts w:hint="eastAsia"/>
          <w:color w:val="auto"/>
          <w:highlight w:val="none"/>
          <w:lang w:eastAsia="zh-CN"/>
        </w:rPr>
        <w:t>（</w:t>
      </w:r>
      <w:r>
        <w:rPr>
          <w:rFonts w:hint="eastAsia"/>
          <w:color w:val="auto"/>
          <w:highlight w:val="none"/>
          <w:lang w:val="en-US" w:eastAsia="zh-CN"/>
        </w:rPr>
        <w:t>六</w:t>
      </w:r>
      <w:r>
        <w:rPr>
          <w:rFonts w:hint="eastAsia"/>
          <w:color w:val="auto"/>
          <w:highlight w:val="none"/>
          <w:lang w:eastAsia="zh-CN"/>
        </w:rPr>
        <w:t>）</w:t>
      </w:r>
      <w:r>
        <w:rPr>
          <w:rFonts w:hint="eastAsia"/>
          <w:color w:val="auto"/>
          <w:highlight w:val="none"/>
        </w:rPr>
        <w:t>提供担保增信服务，围绕“信用服务价值链”进行业务布局，以信用普惠为核心业务，缓解中小微企业融资难、融资贵问题</w:t>
      </w:r>
      <w:r>
        <w:rPr>
          <w:rFonts w:hint="eastAsia"/>
          <w:color w:val="auto"/>
          <w:highlight w:val="none"/>
          <w:lang w:eastAsia="zh-CN"/>
        </w:rPr>
        <w:t>。</w:t>
      </w:r>
    </w:p>
    <w:p>
      <w:pPr>
        <w:spacing w:line="240" w:lineRule="atLeast"/>
        <w:ind w:firstLine="640" w:firstLineChars="200"/>
        <w:rPr>
          <w:rFonts w:ascii="彩虹黑体" w:eastAsia="彩虹黑体"/>
          <w:b/>
          <w:bCs/>
          <w:color w:val="auto"/>
          <w:highlight w:val="none"/>
        </w:rPr>
      </w:pPr>
      <w:r>
        <w:rPr>
          <w:rFonts w:hint="eastAsia"/>
          <w:color w:val="auto"/>
          <w:highlight w:val="none"/>
          <w:lang w:eastAsia="zh-CN"/>
        </w:rPr>
        <w:t>（</w:t>
      </w:r>
      <w:r>
        <w:rPr>
          <w:rFonts w:hint="eastAsia"/>
          <w:color w:val="auto"/>
          <w:highlight w:val="none"/>
          <w:lang w:val="en-US" w:eastAsia="zh-CN"/>
        </w:rPr>
        <w:t>七</w:t>
      </w:r>
      <w:r>
        <w:rPr>
          <w:rFonts w:hint="eastAsia"/>
          <w:color w:val="auto"/>
          <w:highlight w:val="none"/>
          <w:lang w:eastAsia="zh-CN"/>
        </w:rPr>
        <w:t>）</w:t>
      </w:r>
      <w:r>
        <w:rPr>
          <w:rFonts w:hint="eastAsia"/>
          <w:color w:val="auto"/>
          <w:highlight w:val="none"/>
        </w:rPr>
        <w:t>提供小额贷款服务，以普惠保、小微快易贷、小微经营抵押贷、供应链金融、周转贷等产品为市内小微企业提供便利、快捷、多样的金融服务。</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10002FF" w:usb1="4000ACFF" w:usb2="00000009" w:usb3="00000000" w:csb0="2000019F" w:csb1="00000000"/>
  </w:font>
  <w:font w:name="彩虹粗仿宋">
    <w:altName w:val="微软雅黑"/>
    <w:panose1 w:val="00000000000000000000"/>
    <w:charset w:val="86"/>
    <w:family w:val="script"/>
    <w:pitch w:val="default"/>
    <w:sig w:usb0="00000000" w:usb1="00000000" w:usb2="00000010" w:usb3="00000000" w:csb0="00040000" w:csb1="00000000"/>
  </w:font>
  <w:font w:name="彩虹小标宋">
    <w:altName w:val="微软雅黑"/>
    <w:panose1 w:val="00000000000000000000"/>
    <w:charset w:val="86"/>
    <w:family w:val="script"/>
    <w:pitch w:val="default"/>
    <w:sig w:usb0="00000000" w:usb1="00000000" w:usb2="00000010" w:usb3="00000000" w:csb0="00040000" w:csb1="00000000"/>
  </w:font>
  <w:font w:name="彩虹黑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方正书宋_GBK">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5B46A7"/>
    <w:multiLevelType w:val="singleLevel"/>
    <w:tmpl w:val="265B46A7"/>
    <w:lvl w:ilvl="0" w:tentative="0">
      <w:start w:val="1"/>
      <w:numFmt w:val="decimal"/>
      <w:lvlText w:val="%1."/>
      <w:lvlJc w:val="left"/>
      <w:pPr>
        <w:tabs>
          <w:tab w:val="left" w:pos="312"/>
        </w:tabs>
      </w:pPr>
      <w:rPr>
        <w:rFonts w:hint="default"/>
        <w:b w:val="0"/>
        <w:bCs w:val="0"/>
      </w:rPr>
    </w:lvl>
  </w:abstractNum>
  <w:abstractNum w:abstractNumId="1">
    <w:nsid w:val="39D25824"/>
    <w:multiLevelType w:val="singleLevel"/>
    <w:tmpl w:val="39D25824"/>
    <w:lvl w:ilvl="0" w:tentative="0">
      <w:start w:val="4"/>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506D"/>
    <w:rsid w:val="00022F94"/>
    <w:rsid w:val="00025A1E"/>
    <w:rsid w:val="00034BB3"/>
    <w:rsid w:val="000711F7"/>
    <w:rsid w:val="000721FC"/>
    <w:rsid w:val="00091FEA"/>
    <w:rsid w:val="000A43C2"/>
    <w:rsid w:val="000D0F78"/>
    <w:rsid w:val="000F6969"/>
    <w:rsid w:val="00101F03"/>
    <w:rsid w:val="00102946"/>
    <w:rsid w:val="001152CA"/>
    <w:rsid w:val="00123FE8"/>
    <w:rsid w:val="001827BE"/>
    <w:rsid w:val="0018600F"/>
    <w:rsid w:val="00186498"/>
    <w:rsid w:val="001952F5"/>
    <w:rsid w:val="001A6457"/>
    <w:rsid w:val="001B3D02"/>
    <w:rsid w:val="001B53E9"/>
    <w:rsid w:val="001C02B9"/>
    <w:rsid w:val="001E58F2"/>
    <w:rsid w:val="001F341B"/>
    <w:rsid w:val="002431BE"/>
    <w:rsid w:val="00253370"/>
    <w:rsid w:val="00272090"/>
    <w:rsid w:val="00280B26"/>
    <w:rsid w:val="002C08E7"/>
    <w:rsid w:val="002D0FBE"/>
    <w:rsid w:val="002F3911"/>
    <w:rsid w:val="002F5180"/>
    <w:rsid w:val="002F59FF"/>
    <w:rsid w:val="0036528B"/>
    <w:rsid w:val="003C13F7"/>
    <w:rsid w:val="003C75CC"/>
    <w:rsid w:val="003F191C"/>
    <w:rsid w:val="003F1C2E"/>
    <w:rsid w:val="00450CCE"/>
    <w:rsid w:val="004567A5"/>
    <w:rsid w:val="004609E7"/>
    <w:rsid w:val="004867E4"/>
    <w:rsid w:val="004958B3"/>
    <w:rsid w:val="004C29B3"/>
    <w:rsid w:val="004C4253"/>
    <w:rsid w:val="004D553A"/>
    <w:rsid w:val="004D615E"/>
    <w:rsid w:val="004E3648"/>
    <w:rsid w:val="004F2C7E"/>
    <w:rsid w:val="004F63F0"/>
    <w:rsid w:val="00504303"/>
    <w:rsid w:val="00567152"/>
    <w:rsid w:val="00571880"/>
    <w:rsid w:val="005B2C84"/>
    <w:rsid w:val="005D02BD"/>
    <w:rsid w:val="005D1C3C"/>
    <w:rsid w:val="005D79A6"/>
    <w:rsid w:val="005E433D"/>
    <w:rsid w:val="005E6BE1"/>
    <w:rsid w:val="005E6E44"/>
    <w:rsid w:val="006120DE"/>
    <w:rsid w:val="00614817"/>
    <w:rsid w:val="0061521A"/>
    <w:rsid w:val="006307A1"/>
    <w:rsid w:val="00646297"/>
    <w:rsid w:val="0065258A"/>
    <w:rsid w:val="00693C38"/>
    <w:rsid w:val="006A12E8"/>
    <w:rsid w:val="006E215D"/>
    <w:rsid w:val="006E506D"/>
    <w:rsid w:val="006E61C6"/>
    <w:rsid w:val="007025E1"/>
    <w:rsid w:val="0070416F"/>
    <w:rsid w:val="00752759"/>
    <w:rsid w:val="00766003"/>
    <w:rsid w:val="00784294"/>
    <w:rsid w:val="00784FC5"/>
    <w:rsid w:val="00790122"/>
    <w:rsid w:val="0079320E"/>
    <w:rsid w:val="007A3BD5"/>
    <w:rsid w:val="007F3F84"/>
    <w:rsid w:val="008051BB"/>
    <w:rsid w:val="00813567"/>
    <w:rsid w:val="00816158"/>
    <w:rsid w:val="008405C5"/>
    <w:rsid w:val="00847587"/>
    <w:rsid w:val="00847AFA"/>
    <w:rsid w:val="008533BC"/>
    <w:rsid w:val="008544F4"/>
    <w:rsid w:val="00860518"/>
    <w:rsid w:val="0086228F"/>
    <w:rsid w:val="00863827"/>
    <w:rsid w:val="00864F91"/>
    <w:rsid w:val="00886E97"/>
    <w:rsid w:val="0088733A"/>
    <w:rsid w:val="008963C2"/>
    <w:rsid w:val="008F35DD"/>
    <w:rsid w:val="008F7A37"/>
    <w:rsid w:val="00931253"/>
    <w:rsid w:val="009371BB"/>
    <w:rsid w:val="00941C2D"/>
    <w:rsid w:val="00992FAF"/>
    <w:rsid w:val="00993C4D"/>
    <w:rsid w:val="009A208F"/>
    <w:rsid w:val="009A53CC"/>
    <w:rsid w:val="009B45E1"/>
    <w:rsid w:val="009C34ED"/>
    <w:rsid w:val="009E0761"/>
    <w:rsid w:val="009E539B"/>
    <w:rsid w:val="009F23A9"/>
    <w:rsid w:val="00A334D6"/>
    <w:rsid w:val="00A65A9A"/>
    <w:rsid w:val="00A75F96"/>
    <w:rsid w:val="00AA366A"/>
    <w:rsid w:val="00B0273B"/>
    <w:rsid w:val="00B058CA"/>
    <w:rsid w:val="00B2754B"/>
    <w:rsid w:val="00B27EC4"/>
    <w:rsid w:val="00B512DF"/>
    <w:rsid w:val="00B67665"/>
    <w:rsid w:val="00BA293C"/>
    <w:rsid w:val="00BB19DE"/>
    <w:rsid w:val="00BB2C3C"/>
    <w:rsid w:val="00BB2EAC"/>
    <w:rsid w:val="00BC0F67"/>
    <w:rsid w:val="00BC5D3B"/>
    <w:rsid w:val="00BF099C"/>
    <w:rsid w:val="00C30A0C"/>
    <w:rsid w:val="00C70EE9"/>
    <w:rsid w:val="00CB6D44"/>
    <w:rsid w:val="00CD1807"/>
    <w:rsid w:val="00CD4DC9"/>
    <w:rsid w:val="00CF0E40"/>
    <w:rsid w:val="00CF1A8E"/>
    <w:rsid w:val="00CF41CB"/>
    <w:rsid w:val="00D143E8"/>
    <w:rsid w:val="00D33246"/>
    <w:rsid w:val="00D529AE"/>
    <w:rsid w:val="00D531F3"/>
    <w:rsid w:val="00D604A0"/>
    <w:rsid w:val="00D62A20"/>
    <w:rsid w:val="00D67E22"/>
    <w:rsid w:val="00D71192"/>
    <w:rsid w:val="00D766F0"/>
    <w:rsid w:val="00D77D8B"/>
    <w:rsid w:val="00D87242"/>
    <w:rsid w:val="00D8797F"/>
    <w:rsid w:val="00D9743F"/>
    <w:rsid w:val="00DB3D97"/>
    <w:rsid w:val="00DC4B8F"/>
    <w:rsid w:val="00DC612A"/>
    <w:rsid w:val="00DD4F39"/>
    <w:rsid w:val="00E01C0A"/>
    <w:rsid w:val="00E12B0A"/>
    <w:rsid w:val="00E16343"/>
    <w:rsid w:val="00E26EB3"/>
    <w:rsid w:val="00E66965"/>
    <w:rsid w:val="00E71B21"/>
    <w:rsid w:val="00E84762"/>
    <w:rsid w:val="00E86101"/>
    <w:rsid w:val="00E86F40"/>
    <w:rsid w:val="00EB030D"/>
    <w:rsid w:val="00EC2A53"/>
    <w:rsid w:val="00ED054D"/>
    <w:rsid w:val="00ED6675"/>
    <w:rsid w:val="00EE4EA9"/>
    <w:rsid w:val="00EE5127"/>
    <w:rsid w:val="00F0434F"/>
    <w:rsid w:val="00F324E1"/>
    <w:rsid w:val="00F55D65"/>
    <w:rsid w:val="00F75D0F"/>
    <w:rsid w:val="00FA76C9"/>
    <w:rsid w:val="00FA7EDE"/>
    <w:rsid w:val="00FB13FA"/>
    <w:rsid w:val="00FB41C6"/>
    <w:rsid w:val="00FB7EC9"/>
    <w:rsid w:val="00FC31B8"/>
    <w:rsid w:val="00FD463A"/>
    <w:rsid w:val="01885A00"/>
    <w:rsid w:val="02873B71"/>
    <w:rsid w:val="04317D94"/>
    <w:rsid w:val="04F94783"/>
    <w:rsid w:val="0858227F"/>
    <w:rsid w:val="0AFB4013"/>
    <w:rsid w:val="0B8D124F"/>
    <w:rsid w:val="0BE23E26"/>
    <w:rsid w:val="0BEA46C7"/>
    <w:rsid w:val="0C22761F"/>
    <w:rsid w:val="0E4A2453"/>
    <w:rsid w:val="0E772D33"/>
    <w:rsid w:val="0FD1141E"/>
    <w:rsid w:val="12222CC9"/>
    <w:rsid w:val="13214353"/>
    <w:rsid w:val="140C061A"/>
    <w:rsid w:val="1AD3390C"/>
    <w:rsid w:val="1DFE9662"/>
    <w:rsid w:val="1E1D5C08"/>
    <w:rsid w:val="1EED1DFF"/>
    <w:rsid w:val="1FFF0E34"/>
    <w:rsid w:val="21B760DF"/>
    <w:rsid w:val="22351DE9"/>
    <w:rsid w:val="227D4095"/>
    <w:rsid w:val="229E21BD"/>
    <w:rsid w:val="276332BB"/>
    <w:rsid w:val="29734510"/>
    <w:rsid w:val="2ADC4FDB"/>
    <w:rsid w:val="2B4A75CB"/>
    <w:rsid w:val="2C235165"/>
    <w:rsid w:val="2C3D5146"/>
    <w:rsid w:val="2C850EAA"/>
    <w:rsid w:val="2C9A2ECC"/>
    <w:rsid w:val="2CF25F3D"/>
    <w:rsid w:val="2D0473C4"/>
    <w:rsid w:val="2D5356E9"/>
    <w:rsid w:val="2D55028C"/>
    <w:rsid w:val="2E4C7B86"/>
    <w:rsid w:val="2F7CE93F"/>
    <w:rsid w:val="2F7FEFB8"/>
    <w:rsid w:val="2FC03727"/>
    <w:rsid w:val="2FCA2EE3"/>
    <w:rsid w:val="2FFD1F15"/>
    <w:rsid w:val="30740B8D"/>
    <w:rsid w:val="31E412CA"/>
    <w:rsid w:val="33C134B0"/>
    <w:rsid w:val="35563D9C"/>
    <w:rsid w:val="35E0073B"/>
    <w:rsid w:val="370741B0"/>
    <w:rsid w:val="37342A1C"/>
    <w:rsid w:val="37866E0B"/>
    <w:rsid w:val="37F9060D"/>
    <w:rsid w:val="37FAFCEC"/>
    <w:rsid w:val="38DE28CF"/>
    <w:rsid w:val="3A7FEE58"/>
    <w:rsid w:val="3C3B37C9"/>
    <w:rsid w:val="3C3C6AFC"/>
    <w:rsid w:val="409502F9"/>
    <w:rsid w:val="432D3D38"/>
    <w:rsid w:val="45C87129"/>
    <w:rsid w:val="45FF4A4D"/>
    <w:rsid w:val="481133C3"/>
    <w:rsid w:val="4A813B42"/>
    <w:rsid w:val="4C336A68"/>
    <w:rsid w:val="4D374930"/>
    <w:rsid w:val="4EDE6C5F"/>
    <w:rsid w:val="4F3254DD"/>
    <w:rsid w:val="4FFFF8E5"/>
    <w:rsid w:val="50862B9D"/>
    <w:rsid w:val="52B33998"/>
    <w:rsid w:val="538779D4"/>
    <w:rsid w:val="57F16C7F"/>
    <w:rsid w:val="58405240"/>
    <w:rsid w:val="5A7E1904"/>
    <w:rsid w:val="5B384882"/>
    <w:rsid w:val="5D0A1799"/>
    <w:rsid w:val="5F2639C4"/>
    <w:rsid w:val="61760593"/>
    <w:rsid w:val="64540CC2"/>
    <w:rsid w:val="656E190F"/>
    <w:rsid w:val="65C72A7B"/>
    <w:rsid w:val="668B51C2"/>
    <w:rsid w:val="66BE8A01"/>
    <w:rsid w:val="67EF0E18"/>
    <w:rsid w:val="69CA54E0"/>
    <w:rsid w:val="6A761D62"/>
    <w:rsid w:val="6B091DD3"/>
    <w:rsid w:val="6DEEDC3E"/>
    <w:rsid w:val="6E54615B"/>
    <w:rsid w:val="6E7FF93F"/>
    <w:rsid w:val="6EDF7DF5"/>
    <w:rsid w:val="6EEF2C49"/>
    <w:rsid w:val="6F3D3E88"/>
    <w:rsid w:val="6F3F215C"/>
    <w:rsid w:val="6F9B77A5"/>
    <w:rsid w:val="6FCF76FD"/>
    <w:rsid w:val="6FFFA409"/>
    <w:rsid w:val="711A5BE2"/>
    <w:rsid w:val="72074D78"/>
    <w:rsid w:val="7327355E"/>
    <w:rsid w:val="737E7710"/>
    <w:rsid w:val="749E3121"/>
    <w:rsid w:val="766E4F00"/>
    <w:rsid w:val="76FEE11E"/>
    <w:rsid w:val="781F1DCA"/>
    <w:rsid w:val="7B6632C8"/>
    <w:rsid w:val="7BFFACE4"/>
    <w:rsid w:val="7CBA6331"/>
    <w:rsid w:val="7DFFFC15"/>
    <w:rsid w:val="7FAA8316"/>
    <w:rsid w:val="7FF22632"/>
    <w:rsid w:val="7FFD0237"/>
    <w:rsid w:val="7FFF0DFC"/>
    <w:rsid w:val="95AF3589"/>
    <w:rsid w:val="95FAA80D"/>
    <w:rsid w:val="97DFFF2D"/>
    <w:rsid w:val="9CF77006"/>
    <w:rsid w:val="9EFA245F"/>
    <w:rsid w:val="ADFC1339"/>
    <w:rsid w:val="B5CD6D4B"/>
    <w:rsid w:val="B5F7C4A6"/>
    <w:rsid w:val="B9FD0837"/>
    <w:rsid w:val="BDF74DE2"/>
    <w:rsid w:val="CBFD2F9B"/>
    <w:rsid w:val="D3FCCB27"/>
    <w:rsid w:val="D5F5C8C7"/>
    <w:rsid w:val="DF8F2E86"/>
    <w:rsid w:val="DFDE9295"/>
    <w:rsid w:val="EFBE3D04"/>
    <w:rsid w:val="EFFDBC37"/>
    <w:rsid w:val="F35774EC"/>
    <w:rsid w:val="FB7DB09B"/>
    <w:rsid w:val="FC273F7E"/>
    <w:rsid w:val="FD7AA5FA"/>
    <w:rsid w:val="FDFDB17A"/>
    <w:rsid w:val="FEF68787"/>
    <w:rsid w:val="FEFF50C6"/>
    <w:rsid w:val="FF5FD2DE"/>
    <w:rsid w:val="FF7D11CE"/>
    <w:rsid w:val="FFCE0B09"/>
    <w:rsid w:val="FFDBC1C7"/>
    <w:rsid w:val="FFF4F0AB"/>
    <w:rsid w:val="FFFDA583"/>
    <w:rsid w:val="FFFFC94B"/>
    <w:rsid w:val="FFFFF8AF"/>
  </w:rsids>
  <m:mathPr>
    <m:mathFont m:val="Cambria Math"/>
    <m:brkBin m:val="before"/>
    <m:brkBinSub m:val="--"/>
    <m:smallFrac m:val="0"/>
    <m:dispDef/>
    <m:lMargin m:val="0"/>
    <m:rMargin m:val="0"/>
    <m:defJc m:val="centerGroup"/>
    <m:wrapIndent m:val="1440"/>
    <m:intLim m:val="subSup"/>
    <m:naryLim m:val="undOvr"/>
  </m:mathPr>
  <w:themeFontLang w:val="en-US" w:eastAsia="zh-CN" w:bidi="as-I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彩虹粗仿宋" w:hAnsi="彩虹粗仿宋" w:eastAsia="彩虹粗仿宋" w:cs="Times New Roman"/>
      <w:kern w:val="2"/>
      <w:sz w:val="32"/>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Strong"/>
    <w:basedOn w:val="6"/>
    <w:qFormat/>
    <w:uiPriority w:val="22"/>
    <w:rPr>
      <w:b/>
    </w:rPr>
  </w:style>
  <w:style w:type="paragraph" w:styleId="8">
    <w:name w:val="List Paragraph"/>
    <w:basedOn w:val="1"/>
    <w:qFormat/>
    <w:uiPriority w:val="34"/>
    <w:pPr>
      <w:ind w:firstLine="420" w:firstLineChars="200"/>
    </w:pPr>
  </w:style>
  <w:style w:type="character" w:customStyle="1" w:styleId="9">
    <w:name w:val="页眉 Char"/>
    <w:basedOn w:val="6"/>
    <w:link w:val="4"/>
    <w:qFormat/>
    <w:uiPriority w:val="99"/>
    <w:rPr>
      <w:rFonts w:ascii="彩虹粗仿宋" w:hAnsi="彩虹粗仿宋" w:eastAsia="彩虹粗仿宋" w:cs="Times New Roman"/>
      <w:sz w:val="18"/>
      <w:szCs w:val="18"/>
    </w:rPr>
  </w:style>
  <w:style w:type="character" w:customStyle="1" w:styleId="10">
    <w:name w:val="页脚 Char"/>
    <w:basedOn w:val="6"/>
    <w:link w:val="3"/>
    <w:qFormat/>
    <w:uiPriority w:val="99"/>
    <w:rPr>
      <w:rFonts w:ascii="彩虹粗仿宋" w:hAnsi="彩虹粗仿宋" w:eastAsia="彩虹粗仿宋"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2979</Words>
  <Characters>3055</Characters>
  <Lines>17</Lines>
  <Paragraphs>4</Paragraphs>
  <TotalTime>27</TotalTime>
  <ScaleCrop>false</ScaleCrop>
  <LinksUpToDate>false</LinksUpToDate>
  <CharactersWithSpaces>3060</CharactersWithSpaces>
  <Application>WPS Office_11.8.2.10605_F1E327BC-269C-435d-A152-05C5408002CA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2023-02-24T19:51:00Z</dcterms:created>
  <dc:creator>林颖</dc:creator>
  <cp:lastModifiedBy>uos</cp:lastModifiedBy>
  <cp:lastPrinted>2025-05-28T23:30:00Z</cp:lastPrinted>
  <dcterms:modified xsi:type="dcterms:W3CDTF">2025-06-18T15:21:35Z</dcterms:modified>
  <dc:title>江门市市场监督管理局</dc:title>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2052-11.8.2.10605</vt:lpwstr>
  </property>
  <property fmtid="{D5CDD505-2E9C-101B-9397-08002B2CF9AE}" pid="3" name="KSOTemplateDocerSaveRecord">
    <vt:lpwstr>eyJoZGlkIjoiZDI0MzYwOGRmMjE0Mjk1ZjY2MzNkZWY2NGQzOWFiNTkiLCJ1c2VySWQiOiI0ODc5OTk5MzQifQ==</vt:lpwstr>
  </property>
  <property fmtid="{D5CDD505-2E9C-101B-9397-08002B2CF9AE}" pid="4" name="ICV">
    <vt:lpwstr>8D0B293E5DDA05D34F5351683B34F631</vt:lpwstr>
  </property>
</Properties>
</file>