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9CC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150" w:beforeAutospacing="0" w:after="0" w:afterAutospacing="0" w:line="240" w:lineRule="auto"/>
        <w:ind w:right="0"/>
        <w:jc w:val="center"/>
        <w:textAlignment w:val="auto"/>
        <w:rPr>
          <w:rFonts w:hint="eastAsia" w:ascii="宋体" w:hAnsi="宋体" w:eastAsia="宋体" w:cs="宋体"/>
          <w:b/>
          <w:bCs/>
          <w:color w:val="auto"/>
          <w:kern w:val="2"/>
          <w:sz w:val="32"/>
          <w:szCs w:val="32"/>
          <w:lang w:val="en-US" w:eastAsia="zh-CN" w:bidi="zh-CN"/>
        </w:rPr>
      </w:pPr>
      <w:r>
        <w:rPr>
          <w:rFonts w:hint="eastAsia" w:ascii="宋体" w:hAnsi="宋体" w:eastAsia="宋体" w:cs="宋体"/>
          <w:b/>
          <w:bCs/>
          <w:color w:val="auto"/>
          <w:kern w:val="2"/>
          <w:sz w:val="32"/>
          <w:szCs w:val="32"/>
          <w:lang w:val="en-US" w:eastAsia="zh-CN" w:bidi="zh-CN"/>
        </w:rPr>
        <w:t xml:space="preserve"> 评分表</w:t>
      </w:r>
    </w:p>
    <w:tbl>
      <w:tblPr>
        <w:tblStyle w:val="11"/>
        <w:tblW w:w="5573" w:type="pct"/>
        <w:tblInd w:w="-45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36"/>
        <w:gridCol w:w="934"/>
        <w:gridCol w:w="134"/>
        <w:gridCol w:w="5677"/>
        <w:gridCol w:w="978"/>
        <w:gridCol w:w="840"/>
      </w:tblGrid>
      <w:tr w14:paraId="26C2C6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4" w:hRule="atLeast"/>
        </w:trPr>
        <w:tc>
          <w:tcPr>
            <w:tcW w:w="492" w:type="pct"/>
            <w:vAlign w:val="center"/>
          </w:tcPr>
          <w:p w14:paraId="4F85B575">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序号</w:t>
            </w:r>
          </w:p>
        </w:tc>
        <w:tc>
          <w:tcPr>
            <w:tcW w:w="563" w:type="pct"/>
            <w:gridSpan w:val="2"/>
            <w:vAlign w:val="center"/>
          </w:tcPr>
          <w:p w14:paraId="7B79C99B">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评审因素</w:t>
            </w:r>
          </w:p>
        </w:tc>
        <w:tc>
          <w:tcPr>
            <w:tcW w:w="2987" w:type="pct"/>
            <w:vAlign w:val="center"/>
          </w:tcPr>
          <w:p w14:paraId="0F5251A3">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评分细则</w:t>
            </w:r>
          </w:p>
        </w:tc>
        <w:tc>
          <w:tcPr>
            <w:tcW w:w="515" w:type="pct"/>
            <w:vAlign w:val="center"/>
          </w:tcPr>
          <w:p w14:paraId="71B8F277">
            <w:pPr>
              <w:keepNext w:val="0"/>
              <w:keepLines w:val="0"/>
              <w:pageBreakBefore w:val="0"/>
              <w:kinsoku/>
              <w:wordWrap/>
              <w:overflowPunct/>
              <w:topLinePunct w:val="0"/>
              <w:autoSpaceDE w:val="0"/>
              <w:autoSpaceDN w:val="0"/>
              <w:bidi w:val="0"/>
              <w:adjustRightInd w:val="0"/>
              <w:snapToGrid w:val="0"/>
              <w:spacing w:line="560" w:lineRule="exact"/>
              <w:ind w:right="-73" w:rightChars="-35"/>
              <w:jc w:val="both"/>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lang w:val="en-US" w:eastAsia="zh-CN"/>
              </w:rPr>
              <w:t>分值</w:t>
            </w:r>
            <w:r>
              <w:rPr>
                <w:rFonts w:hint="eastAsia" w:ascii="仿宋" w:hAnsi="仿宋" w:eastAsia="仿宋" w:cs="Arial Unicode MS"/>
                <w:b/>
                <w:color w:val="auto"/>
                <w:kern w:val="0"/>
                <w:sz w:val="24"/>
                <w:szCs w:val="24"/>
              </w:rPr>
              <w:t>（</w:t>
            </w:r>
            <w:r>
              <w:rPr>
                <w:rFonts w:hint="eastAsia" w:ascii="仿宋" w:hAnsi="仿宋" w:eastAsia="仿宋" w:cs="Arial Unicode MS"/>
                <w:b/>
                <w:color w:val="auto"/>
                <w:kern w:val="0"/>
                <w:sz w:val="24"/>
                <w:szCs w:val="24"/>
                <w:lang w:val="en-US" w:eastAsia="zh-CN"/>
              </w:rPr>
              <w:t>分</w:t>
            </w:r>
            <w:r>
              <w:rPr>
                <w:rFonts w:hint="eastAsia" w:ascii="仿宋" w:hAnsi="仿宋" w:eastAsia="仿宋" w:cs="Arial Unicode MS"/>
                <w:b/>
                <w:color w:val="auto"/>
                <w:kern w:val="0"/>
                <w:sz w:val="24"/>
                <w:szCs w:val="24"/>
              </w:rPr>
              <w:t>）</w:t>
            </w:r>
          </w:p>
        </w:tc>
        <w:tc>
          <w:tcPr>
            <w:tcW w:w="441" w:type="pct"/>
            <w:vAlign w:val="center"/>
          </w:tcPr>
          <w:p w14:paraId="3F9D9255">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hint="eastAsia" w:ascii="仿宋" w:hAnsi="仿宋" w:eastAsia="仿宋" w:cs="Arial Unicode MS"/>
                <w:b/>
                <w:color w:val="auto"/>
                <w:kern w:val="0"/>
                <w:sz w:val="24"/>
                <w:szCs w:val="24"/>
                <w:lang w:val="en-US" w:eastAsia="zh-CN"/>
              </w:rPr>
            </w:pPr>
            <w:r>
              <w:rPr>
                <w:rFonts w:hint="eastAsia" w:ascii="仿宋" w:hAnsi="仿宋" w:eastAsia="仿宋" w:cs="Arial Unicode MS"/>
                <w:b/>
                <w:color w:val="auto"/>
                <w:kern w:val="0"/>
                <w:sz w:val="24"/>
                <w:szCs w:val="24"/>
                <w:lang w:val="en-US" w:eastAsia="zh-CN"/>
              </w:rPr>
              <w:t>得分</w:t>
            </w:r>
          </w:p>
          <w:p w14:paraId="4E8443F4">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（分）</w:t>
            </w:r>
          </w:p>
        </w:tc>
      </w:tr>
      <w:tr w14:paraId="0E230D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5000" w:type="pct"/>
            <w:gridSpan w:val="6"/>
            <w:vAlign w:val="center"/>
          </w:tcPr>
          <w:p w14:paraId="0D8B18F2">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一、技术部分</w:t>
            </w:r>
            <w:r>
              <w:rPr>
                <w:rFonts w:ascii="仿宋" w:hAnsi="仿宋" w:eastAsia="仿宋" w:cs="Arial Unicode MS"/>
                <w:b/>
                <w:color w:val="auto"/>
                <w:kern w:val="0"/>
                <w:sz w:val="24"/>
                <w:szCs w:val="24"/>
              </w:rPr>
              <w:t>（</w:t>
            </w:r>
            <w:r>
              <w:rPr>
                <w:rFonts w:hint="eastAsia" w:ascii="仿宋" w:hAnsi="仿宋" w:eastAsia="仿宋" w:cs="Arial Unicode MS"/>
                <w:b/>
                <w:color w:val="auto"/>
                <w:kern w:val="0"/>
                <w:sz w:val="24"/>
                <w:szCs w:val="24"/>
              </w:rPr>
              <w:t>60</w:t>
            </w:r>
            <w:r>
              <w:rPr>
                <w:rFonts w:ascii="仿宋" w:hAnsi="仿宋" w:eastAsia="仿宋" w:cs="Arial Unicode MS"/>
                <w:b/>
                <w:color w:val="auto"/>
                <w:kern w:val="0"/>
                <w:sz w:val="24"/>
                <w:szCs w:val="24"/>
              </w:rPr>
              <w:t>分）</w:t>
            </w:r>
          </w:p>
        </w:tc>
      </w:tr>
      <w:tr w14:paraId="10B645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92" w:type="pct"/>
            <w:vAlign w:val="center"/>
          </w:tcPr>
          <w:p w14:paraId="2311C41D">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（一）</w:t>
            </w:r>
          </w:p>
        </w:tc>
        <w:tc>
          <w:tcPr>
            <w:tcW w:w="563" w:type="pct"/>
            <w:gridSpan w:val="2"/>
            <w:vAlign w:val="center"/>
          </w:tcPr>
          <w:p w14:paraId="7AB1E95F">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bCs/>
                <w:color w:val="auto"/>
                <w:kern w:val="0"/>
                <w:sz w:val="24"/>
                <w:szCs w:val="24"/>
                <w:lang w:eastAsia="zh-CN"/>
              </w:rPr>
            </w:pPr>
            <w:r>
              <w:rPr>
                <w:rFonts w:hint="eastAsia" w:ascii="仿宋" w:hAnsi="仿宋" w:eastAsia="仿宋" w:cs="Arial Unicode MS"/>
                <w:color w:val="auto"/>
                <w:kern w:val="0"/>
                <w:sz w:val="24"/>
                <w:szCs w:val="24"/>
              </w:rPr>
              <w:t>技术方案</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5分</w:t>
            </w:r>
            <w:r>
              <w:rPr>
                <w:rFonts w:hint="eastAsia" w:ascii="仿宋" w:hAnsi="仿宋" w:eastAsia="仿宋" w:cs="Arial Unicode MS"/>
                <w:color w:val="auto"/>
                <w:kern w:val="0"/>
                <w:sz w:val="24"/>
                <w:szCs w:val="24"/>
                <w:lang w:eastAsia="zh-CN"/>
              </w:rPr>
              <w:t>）</w:t>
            </w:r>
          </w:p>
        </w:tc>
        <w:tc>
          <w:tcPr>
            <w:tcW w:w="2987" w:type="pct"/>
            <w:vAlign w:val="center"/>
          </w:tcPr>
          <w:p w14:paraId="3B7708DB">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对项目要求分析准确，具体方案全面、详细合理；服务实施流程科学、可行、</w:t>
            </w:r>
            <w:r>
              <w:rPr>
                <w:rFonts w:hint="eastAsia" w:ascii="仿宋" w:hAnsi="仿宋" w:eastAsia="仿宋" w:cs="Arial Unicode MS"/>
                <w:color w:val="auto"/>
                <w:kern w:val="0"/>
                <w:sz w:val="24"/>
                <w:szCs w:val="24"/>
              </w:rPr>
              <w:t>完全</w:t>
            </w:r>
            <w:r>
              <w:rPr>
                <w:rFonts w:ascii="仿宋" w:hAnsi="仿宋" w:eastAsia="仿宋" w:cs="Arial Unicode MS"/>
                <w:color w:val="auto"/>
                <w:kern w:val="0"/>
                <w:sz w:val="24"/>
                <w:szCs w:val="24"/>
              </w:rPr>
              <w:t>满足用户需求</w:t>
            </w:r>
            <w:r>
              <w:rPr>
                <w:rFonts w:hint="eastAsia" w:ascii="仿宋" w:hAnsi="仿宋" w:eastAsia="仿宋" w:cs="Arial Unicode MS"/>
                <w:color w:val="auto"/>
                <w:kern w:val="0"/>
                <w:sz w:val="24"/>
                <w:szCs w:val="24"/>
              </w:rPr>
              <w:t>，得</w:t>
            </w:r>
            <w:r>
              <w:rPr>
                <w:rFonts w:hint="eastAsia" w:ascii="仿宋" w:hAnsi="仿宋" w:eastAsia="仿宋" w:cs="Arial Unicode MS"/>
                <w:color w:val="auto"/>
                <w:kern w:val="0"/>
                <w:sz w:val="24"/>
                <w:szCs w:val="24"/>
                <w:lang w:val="en-US" w:eastAsia="zh-CN"/>
              </w:rPr>
              <w:t>5</w:t>
            </w:r>
            <w:r>
              <w:rPr>
                <w:rFonts w:hint="eastAsia" w:ascii="仿宋" w:hAnsi="仿宋" w:eastAsia="仿宋" w:cs="Arial Unicode MS"/>
                <w:color w:val="auto"/>
                <w:kern w:val="0"/>
                <w:sz w:val="24"/>
                <w:szCs w:val="24"/>
              </w:rPr>
              <w:t>分</w:t>
            </w:r>
            <w:r>
              <w:rPr>
                <w:rFonts w:ascii="仿宋" w:hAnsi="仿宋" w:eastAsia="仿宋" w:cs="Arial Unicode MS"/>
                <w:color w:val="auto"/>
                <w:kern w:val="0"/>
                <w:sz w:val="24"/>
                <w:szCs w:val="24"/>
              </w:rPr>
              <w:t>；</w:t>
            </w:r>
          </w:p>
          <w:p w14:paraId="5EE669F5">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对项目要求分析</w:t>
            </w:r>
            <w:r>
              <w:rPr>
                <w:rFonts w:hint="eastAsia" w:ascii="仿宋" w:hAnsi="仿宋" w:eastAsia="仿宋" w:cs="Arial Unicode MS"/>
                <w:color w:val="auto"/>
                <w:kern w:val="0"/>
                <w:sz w:val="24"/>
                <w:szCs w:val="24"/>
              </w:rPr>
              <w:t>较</w:t>
            </w:r>
            <w:r>
              <w:rPr>
                <w:rFonts w:ascii="仿宋" w:hAnsi="仿宋" w:eastAsia="仿宋" w:cs="Arial Unicode MS"/>
                <w:color w:val="auto"/>
                <w:kern w:val="0"/>
                <w:sz w:val="24"/>
                <w:szCs w:val="24"/>
              </w:rPr>
              <w:t>准确，具体方案较全面、较合理；服务实施流程</w:t>
            </w:r>
            <w:r>
              <w:rPr>
                <w:rFonts w:hint="eastAsia" w:ascii="仿宋" w:hAnsi="仿宋" w:eastAsia="仿宋" w:cs="Arial Unicode MS"/>
                <w:color w:val="auto"/>
                <w:kern w:val="0"/>
                <w:sz w:val="24"/>
                <w:szCs w:val="24"/>
              </w:rPr>
              <w:t>较</w:t>
            </w:r>
            <w:r>
              <w:rPr>
                <w:rFonts w:ascii="仿宋" w:hAnsi="仿宋" w:eastAsia="仿宋" w:cs="Arial Unicode MS"/>
                <w:color w:val="auto"/>
                <w:kern w:val="0"/>
                <w:sz w:val="24"/>
                <w:szCs w:val="24"/>
              </w:rPr>
              <w:t>可行、满足用户需求</w:t>
            </w:r>
            <w:r>
              <w:rPr>
                <w:rFonts w:hint="eastAsia" w:ascii="仿宋" w:hAnsi="仿宋" w:eastAsia="仿宋" w:cs="Arial Unicode MS"/>
                <w:color w:val="auto"/>
                <w:kern w:val="0"/>
                <w:sz w:val="24"/>
                <w:szCs w:val="24"/>
              </w:rPr>
              <w:t>，得4分</w:t>
            </w:r>
            <w:r>
              <w:rPr>
                <w:rFonts w:ascii="仿宋" w:hAnsi="仿宋" w:eastAsia="仿宋" w:cs="Arial Unicode MS"/>
                <w:color w:val="auto"/>
                <w:kern w:val="0"/>
                <w:sz w:val="24"/>
                <w:szCs w:val="24"/>
              </w:rPr>
              <w:t>；</w:t>
            </w:r>
          </w:p>
          <w:p w14:paraId="4A4E804C">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对项目要求分析基本准确，具体方案</w:t>
            </w:r>
            <w:r>
              <w:rPr>
                <w:rFonts w:hint="eastAsia" w:ascii="仿宋" w:hAnsi="仿宋" w:eastAsia="仿宋" w:cs="Arial Unicode MS"/>
                <w:color w:val="auto"/>
                <w:kern w:val="0"/>
                <w:sz w:val="24"/>
                <w:szCs w:val="24"/>
              </w:rPr>
              <w:t>基本</w:t>
            </w:r>
            <w:r>
              <w:rPr>
                <w:rFonts w:ascii="仿宋" w:hAnsi="仿宋" w:eastAsia="仿宋" w:cs="Arial Unicode MS"/>
                <w:color w:val="auto"/>
                <w:kern w:val="0"/>
                <w:sz w:val="24"/>
                <w:szCs w:val="24"/>
              </w:rPr>
              <w:t>全面、合理；服务实施流程</w:t>
            </w:r>
            <w:r>
              <w:rPr>
                <w:rFonts w:hint="eastAsia" w:ascii="仿宋" w:hAnsi="仿宋" w:eastAsia="仿宋" w:cs="Arial Unicode MS"/>
                <w:color w:val="auto"/>
                <w:kern w:val="0"/>
                <w:sz w:val="24"/>
                <w:szCs w:val="24"/>
              </w:rPr>
              <w:t>基本</w:t>
            </w:r>
            <w:r>
              <w:rPr>
                <w:rFonts w:ascii="仿宋" w:hAnsi="仿宋" w:eastAsia="仿宋" w:cs="Arial Unicode MS"/>
                <w:color w:val="auto"/>
                <w:kern w:val="0"/>
                <w:sz w:val="24"/>
                <w:szCs w:val="24"/>
              </w:rPr>
              <w:t>可行、</w:t>
            </w:r>
            <w:r>
              <w:rPr>
                <w:rFonts w:hint="eastAsia" w:ascii="仿宋" w:hAnsi="仿宋" w:eastAsia="仿宋" w:cs="Arial Unicode MS"/>
                <w:color w:val="auto"/>
                <w:kern w:val="0"/>
                <w:sz w:val="24"/>
                <w:szCs w:val="24"/>
              </w:rPr>
              <w:t>基本</w:t>
            </w:r>
            <w:r>
              <w:rPr>
                <w:rFonts w:ascii="仿宋" w:hAnsi="仿宋" w:eastAsia="仿宋" w:cs="Arial Unicode MS"/>
                <w:color w:val="auto"/>
                <w:kern w:val="0"/>
                <w:sz w:val="24"/>
                <w:szCs w:val="24"/>
              </w:rPr>
              <w:t>满足用户需求</w:t>
            </w:r>
            <w:r>
              <w:rPr>
                <w:rFonts w:hint="eastAsia" w:ascii="仿宋" w:hAnsi="仿宋" w:eastAsia="仿宋" w:cs="Arial Unicode MS"/>
                <w:color w:val="auto"/>
                <w:kern w:val="0"/>
                <w:sz w:val="24"/>
                <w:szCs w:val="24"/>
              </w:rPr>
              <w:t>，得</w:t>
            </w:r>
            <w:r>
              <w:rPr>
                <w:rFonts w:hint="eastAsia" w:ascii="仿宋" w:hAnsi="仿宋" w:eastAsia="仿宋" w:cs="Arial Unicode MS"/>
                <w:color w:val="auto"/>
                <w:kern w:val="0"/>
                <w:sz w:val="24"/>
                <w:szCs w:val="24"/>
                <w:lang w:val="en-US" w:eastAsia="zh-CN"/>
              </w:rPr>
              <w:t>3</w:t>
            </w:r>
            <w:r>
              <w:rPr>
                <w:rFonts w:hint="eastAsia" w:ascii="仿宋" w:hAnsi="仿宋" w:eastAsia="仿宋" w:cs="Arial Unicode MS"/>
                <w:color w:val="auto"/>
                <w:kern w:val="0"/>
                <w:sz w:val="24"/>
                <w:szCs w:val="24"/>
              </w:rPr>
              <w:t>分</w:t>
            </w:r>
            <w:r>
              <w:rPr>
                <w:rFonts w:ascii="仿宋" w:hAnsi="仿宋" w:eastAsia="仿宋" w:cs="Arial Unicode MS"/>
                <w:color w:val="auto"/>
                <w:kern w:val="0"/>
                <w:sz w:val="24"/>
                <w:szCs w:val="24"/>
              </w:rPr>
              <w:t>；</w:t>
            </w:r>
          </w:p>
          <w:p w14:paraId="751BE171">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对项目要求分析一般，具体方案</w:t>
            </w:r>
            <w:r>
              <w:rPr>
                <w:rFonts w:hint="eastAsia" w:ascii="仿宋" w:hAnsi="仿宋" w:eastAsia="仿宋" w:cs="Arial Unicode MS"/>
                <w:color w:val="auto"/>
                <w:kern w:val="0"/>
                <w:sz w:val="24"/>
                <w:szCs w:val="24"/>
              </w:rPr>
              <w:t>不够全面、</w:t>
            </w:r>
            <w:r>
              <w:rPr>
                <w:rFonts w:ascii="仿宋" w:hAnsi="仿宋" w:eastAsia="仿宋" w:cs="Arial Unicode MS"/>
                <w:color w:val="auto"/>
                <w:kern w:val="0"/>
                <w:sz w:val="24"/>
                <w:szCs w:val="24"/>
              </w:rPr>
              <w:t>合理；服务实施流程</w:t>
            </w:r>
            <w:r>
              <w:rPr>
                <w:rFonts w:hint="eastAsia" w:ascii="仿宋" w:hAnsi="仿宋" w:eastAsia="仿宋" w:cs="Arial Unicode MS"/>
                <w:color w:val="auto"/>
                <w:kern w:val="0"/>
                <w:sz w:val="24"/>
                <w:szCs w:val="24"/>
              </w:rPr>
              <w:t>有一定可行性、</w:t>
            </w:r>
            <w:r>
              <w:rPr>
                <w:rFonts w:ascii="仿宋" w:hAnsi="仿宋" w:eastAsia="仿宋" w:cs="Arial Unicode MS"/>
                <w:color w:val="auto"/>
                <w:kern w:val="0"/>
                <w:sz w:val="24"/>
                <w:szCs w:val="24"/>
              </w:rPr>
              <w:t>基本满足用户需求</w:t>
            </w:r>
            <w:r>
              <w:rPr>
                <w:rFonts w:hint="eastAsia" w:ascii="仿宋" w:hAnsi="仿宋" w:eastAsia="仿宋" w:cs="Arial Unicode MS"/>
                <w:color w:val="auto"/>
                <w:kern w:val="0"/>
                <w:sz w:val="24"/>
                <w:szCs w:val="24"/>
              </w:rPr>
              <w:t>，得</w:t>
            </w:r>
            <w:r>
              <w:rPr>
                <w:rFonts w:hint="eastAsia" w:ascii="仿宋" w:hAnsi="仿宋" w:eastAsia="仿宋" w:cs="Arial Unicode MS"/>
                <w:color w:val="auto"/>
                <w:kern w:val="0"/>
                <w:sz w:val="24"/>
                <w:szCs w:val="24"/>
                <w:lang w:val="en-US" w:eastAsia="zh-CN"/>
              </w:rPr>
              <w:t>2</w:t>
            </w:r>
            <w:r>
              <w:rPr>
                <w:rFonts w:hint="eastAsia" w:ascii="仿宋" w:hAnsi="仿宋" w:eastAsia="仿宋" w:cs="Arial Unicode MS"/>
                <w:color w:val="auto"/>
                <w:kern w:val="0"/>
                <w:sz w:val="24"/>
                <w:szCs w:val="24"/>
              </w:rPr>
              <w:t>分</w:t>
            </w:r>
            <w:r>
              <w:rPr>
                <w:rFonts w:ascii="仿宋" w:hAnsi="仿宋" w:eastAsia="仿宋" w:cs="Arial Unicode MS"/>
                <w:color w:val="auto"/>
                <w:kern w:val="0"/>
                <w:sz w:val="24"/>
                <w:szCs w:val="24"/>
              </w:rPr>
              <w:t>；</w:t>
            </w:r>
          </w:p>
          <w:p w14:paraId="61CF699B">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对项目要求分析不准确，</w:t>
            </w:r>
            <w:r>
              <w:rPr>
                <w:rFonts w:ascii="仿宋" w:hAnsi="仿宋" w:eastAsia="仿宋" w:cs="Arial Unicode MS"/>
                <w:color w:val="auto"/>
                <w:kern w:val="0"/>
                <w:sz w:val="24"/>
                <w:szCs w:val="24"/>
              </w:rPr>
              <w:t>具体方案不合理；服务实施流程</w:t>
            </w:r>
            <w:r>
              <w:rPr>
                <w:rFonts w:hint="eastAsia" w:ascii="仿宋" w:hAnsi="仿宋" w:eastAsia="仿宋" w:cs="Arial Unicode MS"/>
                <w:color w:val="auto"/>
                <w:kern w:val="0"/>
                <w:sz w:val="24"/>
                <w:szCs w:val="24"/>
              </w:rPr>
              <w:t>可行性低，无法</w:t>
            </w:r>
            <w:r>
              <w:rPr>
                <w:rFonts w:ascii="仿宋" w:hAnsi="仿宋" w:eastAsia="仿宋" w:cs="Arial Unicode MS"/>
                <w:color w:val="auto"/>
                <w:kern w:val="0"/>
                <w:sz w:val="24"/>
                <w:szCs w:val="24"/>
              </w:rPr>
              <w:t>满足用户需求</w:t>
            </w:r>
            <w:r>
              <w:rPr>
                <w:rFonts w:hint="eastAsia" w:ascii="仿宋" w:hAnsi="仿宋" w:eastAsia="仿宋" w:cs="Arial Unicode MS"/>
                <w:color w:val="auto"/>
                <w:kern w:val="0"/>
                <w:sz w:val="24"/>
                <w:szCs w:val="24"/>
              </w:rPr>
              <w:t>或未提供技术方案的，得0分</w:t>
            </w:r>
            <w:r>
              <w:rPr>
                <w:rFonts w:ascii="仿宋" w:hAnsi="仿宋" w:eastAsia="仿宋" w:cs="Arial Unicode MS"/>
                <w:color w:val="auto"/>
                <w:kern w:val="0"/>
                <w:sz w:val="24"/>
                <w:szCs w:val="24"/>
              </w:rPr>
              <w:t>。</w:t>
            </w:r>
          </w:p>
        </w:tc>
        <w:tc>
          <w:tcPr>
            <w:tcW w:w="515" w:type="pct"/>
            <w:shd w:val="clear" w:color="auto" w:fill="auto"/>
            <w:vAlign w:val="center"/>
          </w:tcPr>
          <w:p w14:paraId="771778C4">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color w:val="auto"/>
                <w:kern w:val="0"/>
                <w:sz w:val="24"/>
                <w:szCs w:val="24"/>
                <w:lang w:val="en-US" w:eastAsia="zh-CN" w:bidi="ar-SA"/>
              </w:rPr>
            </w:pPr>
            <w:r>
              <w:rPr>
                <w:rFonts w:hint="eastAsia" w:ascii="仿宋" w:hAnsi="仿宋" w:eastAsia="仿宋" w:cs="Arial Unicode MS"/>
                <w:color w:val="auto"/>
                <w:kern w:val="0"/>
                <w:sz w:val="24"/>
                <w:szCs w:val="24"/>
                <w:lang w:val="en-US" w:eastAsia="zh-CN"/>
              </w:rPr>
              <w:t>5</w:t>
            </w:r>
          </w:p>
        </w:tc>
        <w:tc>
          <w:tcPr>
            <w:tcW w:w="441" w:type="pct"/>
            <w:vAlign w:val="center"/>
          </w:tcPr>
          <w:p w14:paraId="03E0189C">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color w:val="auto"/>
                <w:kern w:val="0"/>
                <w:sz w:val="24"/>
                <w:szCs w:val="24"/>
                <w:lang w:eastAsia="zh-CN"/>
              </w:rPr>
            </w:pPr>
          </w:p>
        </w:tc>
      </w:tr>
      <w:tr w14:paraId="7F1AB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492" w:type="pct"/>
            <w:vAlign w:val="center"/>
          </w:tcPr>
          <w:p w14:paraId="3260F8AC">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（二）</w:t>
            </w:r>
          </w:p>
        </w:tc>
        <w:tc>
          <w:tcPr>
            <w:tcW w:w="563" w:type="pct"/>
            <w:gridSpan w:val="2"/>
            <w:vAlign w:val="center"/>
          </w:tcPr>
          <w:p w14:paraId="64D06C59">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bCs/>
                <w:color w:val="auto"/>
                <w:kern w:val="0"/>
                <w:sz w:val="24"/>
                <w:szCs w:val="24"/>
                <w:lang w:eastAsia="zh-CN"/>
              </w:rPr>
            </w:pPr>
            <w:r>
              <w:rPr>
                <w:rFonts w:hint="eastAsia" w:ascii="仿宋" w:hAnsi="仿宋" w:eastAsia="仿宋" w:cs="Arial Unicode MS"/>
                <w:color w:val="auto"/>
                <w:kern w:val="0"/>
                <w:sz w:val="24"/>
                <w:szCs w:val="24"/>
              </w:rPr>
              <w:t>对项目设计重点、难点的理解及建议</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5分</w:t>
            </w:r>
            <w:r>
              <w:rPr>
                <w:rFonts w:hint="eastAsia" w:ascii="仿宋" w:hAnsi="仿宋" w:eastAsia="仿宋" w:cs="Arial Unicode MS"/>
                <w:color w:val="auto"/>
                <w:kern w:val="0"/>
                <w:sz w:val="24"/>
                <w:szCs w:val="24"/>
                <w:lang w:eastAsia="zh-CN"/>
              </w:rPr>
              <w:t>）</w:t>
            </w:r>
          </w:p>
        </w:tc>
        <w:tc>
          <w:tcPr>
            <w:tcW w:w="2987" w:type="pct"/>
            <w:vAlign w:val="center"/>
          </w:tcPr>
          <w:p w14:paraId="15D8A0A5">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包括但不限于：</w:t>
            </w:r>
          </w:p>
          <w:p w14:paraId="7F5A77AA">
            <w:pPr>
              <w:keepNext w:val="0"/>
              <w:keepLines w:val="0"/>
              <w:pageBreakBefore w:val="0"/>
              <w:numPr>
                <w:ilvl w:val="0"/>
                <w:numId w:val="0"/>
              </w:numPr>
              <w:kinsoku/>
              <w:wordWrap/>
              <w:overflowPunct/>
              <w:topLinePunct w:val="0"/>
              <w:autoSpaceDE w:val="0"/>
              <w:autoSpaceDN w:val="0"/>
              <w:bidi w:val="0"/>
              <w:adjustRightInd w:val="0"/>
              <w:spacing w:line="560" w:lineRule="exact"/>
              <w:ind w:left="-78" w:leftChars="0" w:right="-73" w:rightChars="-35"/>
              <w:jc w:val="left"/>
              <w:textAlignment w:val="auto"/>
              <w:rPr>
                <w:rFonts w:ascii="仿宋" w:hAnsi="仿宋" w:eastAsia="仿宋" w:cs="Arial Unicode MS"/>
                <w:bCs/>
                <w:color w:val="auto"/>
                <w:sz w:val="24"/>
                <w:szCs w:val="24"/>
              </w:rPr>
            </w:pPr>
            <w:r>
              <w:rPr>
                <w:rFonts w:hint="eastAsia" w:ascii="仿宋" w:hAnsi="仿宋" w:eastAsia="仿宋" w:cs="Arial Unicode MS"/>
                <w:bCs/>
                <w:color w:val="auto"/>
                <w:sz w:val="24"/>
                <w:szCs w:val="24"/>
                <w:lang w:val="en-US" w:eastAsia="zh-CN"/>
              </w:rPr>
              <w:t>1、</w:t>
            </w:r>
            <w:r>
              <w:rPr>
                <w:rFonts w:hint="eastAsia" w:ascii="仿宋" w:hAnsi="仿宋" w:eastAsia="仿宋" w:cs="Arial Unicode MS"/>
                <w:bCs/>
                <w:color w:val="auto"/>
                <w:sz w:val="24"/>
                <w:szCs w:val="24"/>
              </w:rPr>
              <w:t>对本项目重点和难点的阐述；</w:t>
            </w:r>
          </w:p>
          <w:p w14:paraId="6F71AF36">
            <w:pPr>
              <w:keepNext w:val="0"/>
              <w:keepLines w:val="0"/>
              <w:pageBreakBefore w:val="0"/>
              <w:numPr>
                <w:ilvl w:val="0"/>
                <w:numId w:val="0"/>
              </w:numPr>
              <w:kinsoku/>
              <w:wordWrap/>
              <w:overflowPunct/>
              <w:topLinePunct w:val="0"/>
              <w:autoSpaceDE w:val="0"/>
              <w:autoSpaceDN w:val="0"/>
              <w:bidi w:val="0"/>
              <w:adjustRightInd w:val="0"/>
              <w:spacing w:line="560" w:lineRule="exact"/>
              <w:ind w:left="-78" w:leftChars="0" w:right="-73" w:rightChars="-35"/>
              <w:jc w:val="left"/>
              <w:textAlignment w:val="auto"/>
              <w:rPr>
                <w:rFonts w:ascii="仿宋" w:hAnsi="仿宋" w:eastAsia="仿宋" w:cs="Arial Unicode MS"/>
                <w:bCs/>
                <w:color w:val="auto"/>
                <w:sz w:val="24"/>
                <w:szCs w:val="24"/>
              </w:rPr>
            </w:pPr>
            <w:r>
              <w:rPr>
                <w:rFonts w:hint="eastAsia" w:ascii="仿宋" w:hAnsi="仿宋" w:eastAsia="仿宋" w:cs="Arial Unicode MS"/>
                <w:bCs/>
                <w:color w:val="auto"/>
                <w:sz w:val="24"/>
                <w:szCs w:val="24"/>
                <w:lang w:val="en-US" w:eastAsia="zh-CN"/>
              </w:rPr>
              <w:t>2、</w:t>
            </w:r>
            <w:r>
              <w:rPr>
                <w:rFonts w:hint="eastAsia" w:ascii="仿宋" w:hAnsi="仿宋" w:eastAsia="仿宋" w:cs="Arial Unicode MS"/>
                <w:bCs/>
                <w:color w:val="auto"/>
                <w:sz w:val="24"/>
                <w:szCs w:val="24"/>
              </w:rPr>
              <w:t>对本项目重点和难点的监控措施；</w:t>
            </w:r>
          </w:p>
          <w:p w14:paraId="7BEB83B3">
            <w:pPr>
              <w:keepNext w:val="0"/>
              <w:keepLines w:val="0"/>
              <w:pageBreakBefore w:val="0"/>
              <w:numPr>
                <w:ilvl w:val="0"/>
                <w:numId w:val="0"/>
              </w:numPr>
              <w:kinsoku/>
              <w:wordWrap/>
              <w:overflowPunct/>
              <w:topLinePunct w:val="0"/>
              <w:autoSpaceDE w:val="0"/>
              <w:autoSpaceDN w:val="0"/>
              <w:bidi w:val="0"/>
              <w:adjustRightInd w:val="0"/>
              <w:spacing w:line="560" w:lineRule="exact"/>
              <w:ind w:left="-78" w:leftChars="0" w:right="-73" w:rightChars="-35"/>
              <w:jc w:val="left"/>
              <w:textAlignment w:val="auto"/>
              <w:rPr>
                <w:rFonts w:ascii="仿宋" w:hAnsi="仿宋" w:eastAsia="仿宋" w:cs="Arial Unicode MS"/>
                <w:bCs/>
                <w:color w:val="auto"/>
                <w:sz w:val="24"/>
                <w:szCs w:val="24"/>
              </w:rPr>
            </w:pPr>
            <w:r>
              <w:rPr>
                <w:rFonts w:hint="eastAsia" w:ascii="仿宋" w:hAnsi="仿宋" w:eastAsia="仿宋" w:cs="Arial Unicode MS"/>
                <w:bCs/>
                <w:color w:val="auto"/>
                <w:sz w:val="24"/>
                <w:szCs w:val="24"/>
                <w:lang w:val="en-US" w:eastAsia="zh-CN"/>
              </w:rPr>
              <w:t>3、</w:t>
            </w:r>
            <w:r>
              <w:rPr>
                <w:rFonts w:hint="eastAsia" w:ascii="仿宋" w:hAnsi="仿宋" w:eastAsia="仿宋" w:cs="Arial Unicode MS"/>
                <w:bCs/>
                <w:color w:val="auto"/>
                <w:sz w:val="24"/>
                <w:szCs w:val="24"/>
              </w:rPr>
              <w:t>对本项目重点和难点的建议方案；</w:t>
            </w:r>
          </w:p>
          <w:p w14:paraId="4137F314">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对本项目的重点、难点有充分的认识，措施具体，针对性强，相关建议可行性高，得</w:t>
            </w:r>
            <w:r>
              <w:rPr>
                <w:rFonts w:hint="eastAsia" w:ascii="仿宋" w:hAnsi="仿宋" w:eastAsia="仿宋" w:cs="Arial Unicode MS"/>
                <w:color w:val="auto"/>
                <w:kern w:val="0"/>
                <w:sz w:val="24"/>
                <w:szCs w:val="24"/>
                <w:lang w:val="en-US" w:eastAsia="zh-CN"/>
              </w:rPr>
              <w:t>5</w:t>
            </w:r>
            <w:r>
              <w:rPr>
                <w:rFonts w:hint="eastAsia" w:ascii="仿宋" w:hAnsi="仿宋" w:eastAsia="仿宋" w:cs="Arial Unicode MS"/>
                <w:color w:val="auto"/>
                <w:kern w:val="0"/>
                <w:sz w:val="24"/>
                <w:szCs w:val="24"/>
              </w:rPr>
              <w:t>分；</w:t>
            </w:r>
          </w:p>
          <w:p w14:paraId="06ABCF24">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对本项目的重点、难点有一定的认识，措施具体，针对性较强，相关建议可行性较高，得4分；</w:t>
            </w:r>
          </w:p>
          <w:p w14:paraId="1F0271DD">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对本项目的重点、难点有一定的认识，措施具有一定的清晰度但不具体，具有一定的针对性，相关建议有一定可行性，得</w:t>
            </w:r>
            <w:r>
              <w:rPr>
                <w:rFonts w:hint="eastAsia" w:ascii="仿宋" w:hAnsi="仿宋" w:eastAsia="仿宋" w:cs="Arial Unicode MS"/>
                <w:color w:val="auto"/>
                <w:kern w:val="0"/>
                <w:sz w:val="24"/>
                <w:szCs w:val="24"/>
                <w:lang w:val="en-US" w:eastAsia="zh-CN"/>
              </w:rPr>
              <w:t>3</w:t>
            </w:r>
            <w:r>
              <w:rPr>
                <w:rFonts w:hint="eastAsia" w:ascii="仿宋" w:hAnsi="仿宋" w:eastAsia="仿宋" w:cs="Arial Unicode MS"/>
                <w:color w:val="auto"/>
                <w:kern w:val="0"/>
                <w:sz w:val="24"/>
                <w:szCs w:val="24"/>
              </w:rPr>
              <w:t>分；</w:t>
            </w:r>
          </w:p>
          <w:p w14:paraId="77505927">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对本项目的重点、难点有相关的认识但不清晰，措施不清晰，不具针对性，相关建议可行性较低，得</w:t>
            </w:r>
            <w:r>
              <w:rPr>
                <w:rFonts w:hint="eastAsia" w:ascii="仿宋" w:hAnsi="仿宋" w:eastAsia="仿宋" w:cs="Arial Unicode MS"/>
                <w:color w:val="auto"/>
                <w:kern w:val="0"/>
                <w:sz w:val="24"/>
                <w:szCs w:val="24"/>
                <w:lang w:val="en-US" w:eastAsia="zh-CN"/>
              </w:rPr>
              <w:t>1</w:t>
            </w:r>
            <w:r>
              <w:rPr>
                <w:rFonts w:hint="eastAsia" w:ascii="仿宋" w:hAnsi="仿宋" w:eastAsia="仿宋" w:cs="Arial Unicode MS"/>
                <w:color w:val="auto"/>
                <w:kern w:val="0"/>
                <w:sz w:val="24"/>
                <w:szCs w:val="24"/>
              </w:rPr>
              <w:t>分；</w:t>
            </w:r>
          </w:p>
          <w:p w14:paraId="762D2FB7">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对本项目的重点、难点不了解，措施不清晰，不具针对性，相关建议不具可行性，或未提供得0分。</w:t>
            </w:r>
          </w:p>
        </w:tc>
        <w:tc>
          <w:tcPr>
            <w:tcW w:w="515" w:type="pct"/>
            <w:shd w:val="clear" w:color="auto" w:fill="auto"/>
            <w:vAlign w:val="center"/>
          </w:tcPr>
          <w:p w14:paraId="2B315B74">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color w:val="auto"/>
                <w:kern w:val="0"/>
                <w:sz w:val="24"/>
                <w:szCs w:val="24"/>
                <w:lang w:val="en-US" w:eastAsia="zh-CN" w:bidi="ar-SA"/>
              </w:rPr>
            </w:pPr>
            <w:r>
              <w:rPr>
                <w:rFonts w:hint="eastAsia" w:ascii="仿宋" w:hAnsi="仿宋" w:eastAsia="仿宋" w:cs="Arial Unicode MS"/>
                <w:color w:val="auto"/>
                <w:kern w:val="0"/>
                <w:sz w:val="24"/>
                <w:szCs w:val="24"/>
                <w:lang w:val="en-US" w:eastAsia="zh-CN"/>
              </w:rPr>
              <w:t>5</w:t>
            </w:r>
          </w:p>
        </w:tc>
        <w:tc>
          <w:tcPr>
            <w:tcW w:w="441" w:type="pct"/>
            <w:vAlign w:val="center"/>
          </w:tcPr>
          <w:p w14:paraId="1B4A7717">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color w:val="auto"/>
                <w:kern w:val="0"/>
                <w:sz w:val="24"/>
                <w:szCs w:val="24"/>
                <w:lang w:eastAsia="zh-CN"/>
              </w:rPr>
            </w:pPr>
          </w:p>
        </w:tc>
      </w:tr>
      <w:tr w14:paraId="71C874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492" w:type="pct"/>
            <w:vAlign w:val="center"/>
          </w:tcPr>
          <w:p w14:paraId="4ED229FB">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bCs/>
                <w:color w:val="auto"/>
                <w:kern w:val="0"/>
                <w:sz w:val="24"/>
                <w:szCs w:val="24"/>
              </w:rPr>
            </w:pPr>
            <w:r>
              <w:rPr>
                <w:rFonts w:hint="eastAsia" w:ascii="仿宋" w:hAnsi="仿宋" w:eastAsia="仿宋" w:cs="Arial Unicode MS"/>
                <w:bCs/>
                <w:color w:val="auto"/>
                <w:kern w:val="0"/>
                <w:sz w:val="24"/>
                <w:szCs w:val="24"/>
              </w:rPr>
              <w:t>（三）</w:t>
            </w:r>
          </w:p>
        </w:tc>
        <w:tc>
          <w:tcPr>
            <w:tcW w:w="563" w:type="pct"/>
            <w:gridSpan w:val="2"/>
            <w:vAlign w:val="center"/>
          </w:tcPr>
          <w:p w14:paraId="7F9D0431">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bCs/>
                <w:color w:val="auto"/>
                <w:kern w:val="0"/>
                <w:sz w:val="24"/>
                <w:szCs w:val="24"/>
                <w:lang w:eastAsia="zh-CN"/>
              </w:rPr>
            </w:pPr>
            <w:r>
              <w:rPr>
                <w:rFonts w:hint="eastAsia" w:ascii="仿宋" w:hAnsi="仿宋" w:eastAsia="仿宋" w:cs="Arial Unicode MS"/>
                <w:bCs/>
                <w:color w:val="auto"/>
                <w:kern w:val="0"/>
                <w:sz w:val="24"/>
                <w:szCs w:val="24"/>
              </w:rPr>
              <w:t>项目进度保障措施</w:t>
            </w:r>
            <w:r>
              <w:rPr>
                <w:rFonts w:hint="eastAsia" w:ascii="仿宋" w:hAnsi="仿宋" w:eastAsia="仿宋" w:cs="Arial Unicode MS"/>
                <w:bCs/>
                <w:color w:val="auto"/>
                <w:kern w:val="0"/>
                <w:sz w:val="24"/>
                <w:szCs w:val="24"/>
                <w:lang w:eastAsia="zh-CN"/>
              </w:rPr>
              <w:t>（</w:t>
            </w:r>
            <w:r>
              <w:rPr>
                <w:rFonts w:hint="eastAsia" w:ascii="仿宋" w:hAnsi="仿宋" w:eastAsia="仿宋" w:cs="Arial Unicode MS"/>
                <w:bCs/>
                <w:color w:val="auto"/>
                <w:kern w:val="0"/>
                <w:sz w:val="24"/>
                <w:szCs w:val="24"/>
                <w:lang w:val="en-US" w:eastAsia="zh-CN"/>
              </w:rPr>
              <w:t>5分</w:t>
            </w:r>
            <w:r>
              <w:rPr>
                <w:rFonts w:hint="eastAsia" w:ascii="仿宋" w:hAnsi="仿宋" w:eastAsia="仿宋" w:cs="Arial Unicode MS"/>
                <w:bCs/>
                <w:color w:val="auto"/>
                <w:kern w:val="0"/>
                <w:sz w:val="24"/>
                <w:szCs w:val="24"/>
                <w:lang w:eastAsia="zh-CN"/>
              </w:rPr>
              <w:t>）</w:t>
            </w:r>
          </w:p>
        </w:tc>
        <w:tc>
          <w:tcPr>
            <w:tcW w:w="2987" w:type="pct"/>
            <w:vAlign w:val="center"/>
          </w:tcPr>
          <w:p w14:paraId="383F1EF4">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项目管理、进度安排</w:t>
            </w:r>
            <w:r>
              <w:rPr>
                <w:rFonts w:hint="eastAsia" w:ascii="仿宋" w:hAnsi="仿宋" w:eastAsia="仿宋" w:cs="Arial Unicode MS"/>
                <w:color w:val="auto"/>
                <w:kern w:val="0"/>
                <w:sz w:val="24"/>
                <w:szCs w:val="24"/>
              </w:rPr>
              <w:t>完善、</w:t>
            </w:r>
            <w:r>
              <w:rPr>
                <w:rFonts w:ascii="仿宋" w:hAnsi="仿宋" w:eastAsia="仿宋" w:cs="Arial Unicode MS"/>
                <w:color w:val="auto"/>
                <w:kern w:val="0"/>
                <w:sz w:val="24"/>
                <w:szCs w:val="24"/>
              </w:rPr>
              <w:t>具体、全面，项目管理及进度安排合理高效、可操作性强，有计划保障</w:t>
            </w:r>
            <w:r>
              <w:rPr>
                <w:rFonts w:hint="eastAsia" w:ascii="仿宋" w:hAnsi="仿宋" w:eastAsia="仿宋" w:cs="Arial Unicode MS"/>
                <w:color w:val="auto"/>
                <w:kern w:val="0"/>
                <w:sz w:val="24"/>
                <w:szCs w:val="24"/>
              </w:rPr>
              <w:t>，得5分</w:t>
            </w:r>
            <w:r>
              <w:rPr>
                <w:rFonts w:ascii="仿宋" w:hAnsi="仿宋" w:eastAsia="仿宋" w:cs="Arial Unicode MS"/>
                <w:color w:val="auto"/>
                <w:kern w:val="0"/>
                <w:sz w:val="24"/>
                <w:szCs w:val="24"/>
              </w:rPr>
              <w:t>；</w:t>
            </w:r>
          </w:p>
          <w:p w14:paraId="7394C4D4">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项目管理、进度安排较完善，项目管理及进度安排较合理高效、可操作性较强</w:t>
            </w:r>
            <w:r>
              <w:rPr>
                <w:rFonts w:hint="eastAsia" w:ascii="仿宋" w:hAnsi="仿宋" w:eastAsia="仿宋" w:cs="Arial Unicode MS"/>
                <w:color w:val="auto"/>
                <w:kern w:val="0"/>
                <w:sz w:val="24"/>
                <w:szCs w:val="24"/>
              </w:rPr>
              <w:t>，得</w:t>
            </w:r>
            <w:r>
              <w:rPr>
                <w:rFonts w:hint="eastAsia" w:ascii="仿宋" w:hAnsi="仿宋" w:eastAsia="仿宋" w:cs="Arial Unicode MS"/>
                <w:color w:val="auto"/>
                <w:kern w:val="0"/>
                <w:sz w:val="24"/>
                <w:szCs w:val="24"/>
                <w:lang w:val="en-US" w:eastAsia="zh-CN"/>
              </w:rPr>
              <w:t>4</w:t>
            </w:r>
            <w:r>
              <w:rPr>
                <w:rFonts w:hint="eastAsia" w:ascii="仿宋" w:hAnsi="仿宋" w:eastAsia="仿宋" w:cs="Arial Unicode MS"/>
                <w:color w:val="auto"/>
                <w:kern w:val="0"/>
                <w:sz w:val="24"/>
                <w:szCs w:val="24"/>
              </w:rPr>
              <w:t>分</w:t>
            </w:r>
            <w:r>
              <w:rPr>
                <w:rFonts w:ascii="仿宋" w:hAnsi="仿宋" w:eastAsia="仿宋" w:cs="Arial Unicode MS"/>
                <w:color w:val="auto"/>
                <w:kern w:val="0"/>
                <w:sz w:val="24"/>
                <w:szCs w:val="24"/>
              </w:rPr>
              <w:t>；</w:t>
            </w:r>
          </w:p>
          <w:p w14:paraId="364F8C3E">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项目管理、进度安排基本</w:t>
            </w:r>
            <w:r>
              <w:rPr>
                <w:rFonts w:hint="eastAsia" w:ascii="仿宋" w:hAnsi="仿宋" w:eastAsia="仿宋" w:cs="Arial Unicode MS"/>
                <w:color w:val="auto"/>
                <w:kern w:val="0"/>
                <w:sz w:val="24"/>
                <w:szCs w:val="24"/>
              </w:rPr>
              <w:t>完善，</w:t>
            </w:r>
            <w:r>
              <w:rPr>
                <w:rFonts w:ascii="仿宋" w:hAnsi="仿宋" w:eastAsia="仿宋" w:cs="Arial Unicode MS"/>
                <w:color w:val="auto"/>
                <w:kern w:val="0"/>
                <w:sz w:val="24"/>
                <w:szCs w:val="24"/>
              </w:rPr>
              <w:t>项目管理及进度安排</w:t>
            </w:r>
            <w:r>
              <w:rPr>
                <w:rFonts w:hint="eastAsia" w:ascii="仿宋" w:hAnsi="仿宋" w:eastAsia="仿宋" w:cs="Arial Unicode MS"/>
                <w:color w:val="auto"/>
                <w:kern w:val="0"/>
                <w:sz w:val="24"/>
                <w:szCs w:val="24"/>
              </w:rPr>
              <w:t>不够</w:t>
            </w:r>
            <w:r>
              <w:rPr>
                <w:rFonts w:ascii="仿宋" w:hAnsi="仿宋" w:eastAsia="仿宋" w:cs="Arial Unicode MS"/>
                <w:color w:val="auto"/>
                <w:kern w:val="0"/>
                <w:sz w:val="24"/>
                <w:szCs w:val="24"/>
              </w:rPr>
              <w:t>合理、可操作性</w:t>
            </w:r>
            <w:r>
              <w:rPr>
                <w:rFonts w:hint="eastAsia" w:ascii="仿宋" w:hAnsi="仿宋" w:eastAsia="仿宋" w:cs="Arial Unicode MS"/>
                <w:color w:val="auto"/>
                <w:kern w:val="0"/>
                <w:sz w:val="24"/>
                <w:szCs w:val="24"/>
              </w:rPr>
              <w:t>一般，得</w:t>
            </w:r>
            <w:r>
              <w:rPr>
                <w:rFonts w:hint="eastAsia" w:ascii="仿宋" w:hAnsi="仿宋" w:eastAsia="仿宋" w:cs="Arial Unicode MS"/>
                <w:color w:val="auto"/>
                <w:kern w:val="0"/>
                <w:sz w:val="24"/>
                <w:szCs w:val="24"/>
                <w:lang w:val="en-US" w:eastAsia="zh-CN"/>
              </w:rPr>
              <w:t>3</w:t>
            </w:r>
            <w:r>
              <w:rPr>
                <w:rFonts w:hint="eastAsia" w:ascii="仿宋" w:hAnsi="仿宋" w:eastAsia="仿宋" w:cs="Arial Unicode MS"/>
                <w:color w:val="auto"/>
                <w:kern w:val="0"/>
                <w:sz w:val="24"/>
                <w:szCs w:val="24"/>
              </w:rPr>
              <w:t>分</w:t>
            </w:r>
            <w:r>
              <w:rPr>
                <w:rFonts w:ascii="仿宋" w:hAnsi="仿宋" w:eastAsia="仿宋" w:cs="Arial Unicode MS"/>
                <w:color w:val="auto"/>
                <w:kern w:val="0"/>
                <w:sz w:val="24"/>
                <w:szCs w:val="24"/>
              </w:rPr>
              <w:t>；</w:t>
            </w:r>
          </w:p>
          <w:p w14:paraId="66E12221">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项目管理、进度安排</w:t>
            </w:r>
            <w:r>
              <w:rPr>
                <w:rFonts w:hint="eastAsia" w:ascii="仿宋" w:hAnsi="仿宋" w:eastAsia="仿宋" w:cs="Arial Unicode MS"/>
                <w:color w:val="auto"/>
                <w:kern w:val="0"/>
                <w:sz w:val="24"/>
                <w:szCs w:val="24"/>
              </w:rPr>
              <w:t>不完善，</w:t>
            </w:r>
            <w:r>
              <w:rPr>
                <w:rFonts w:ascii="仿宋" w:hAnsi="仿宋" w:eastAsia="仿宋" w:cs="Arial Unicode MS"/>
                <w:color w:val="auto"/>
                <w:kern w:val="0"/>
                <w:sz w:val="24"/>
                <w:szCs w:val="24"/>
              </w:rPr>
              <w:t>项目管理及进度安排</w:t>
            </w:r>
            <w:r>
              <w:rPr>
                <w:rFonts w:hint="eastAsia" w:ascii="仿宋" w:hAnsi="仿宋" w:eastAsia="仿宋" w:cs="Arial Unicode MS"/>
                <w:color w:val="auto"/>
                <w:kern w:val="0"/>
                <w:sz w:val="24"/>
                <w:szCs w:val="24"/>
              </w:rPr>
              <w:t>不</w:t>
            </w:r>
            <w:r>
              <w:rPr>
                <w:rFonts w:ascii="仿宋" w:hAnsi="仿宋" w:eastAsia="仿宋" w:cs="Arial Unicode MS"/>
                <w:color w:val="auto"/>
                <w:kern w:val="0"/>
                <w:sz w:val="24"/>
                <w:szCs w:val="24"/>
              </w:rPr>
              <w:t>合理、可操作性</w:t>
            </w:r>
            <w:r>
              <w:rPr>
                <w:rFonts w:hint="eastAsia" w:ascii="仿宋" w:hAnsi="仿宋" w:eastAsia="仿宋" w:cs="Arial Unicode MS"/>
                <w:color w:val="auto"/>
                <w:kern w:val="0"/>
                <w:sz w:val="24"/>
                <w:szCs w:val="24"/>
              </w:rPr>
              <w:t>低，得</w:t>
            </w:r>
            <w:r>
              <w:rPr>
                <w:rFonts w:hint="eastAsia" w:ascii="仿宋" w:hAnsi="仿宋" w:eastAsia="仿宋" w:cs="Arial Unicode MS"/>
                <w:color w:val="auto"/>
                <w:kern w:val="0"/>
                <w:sz w:val="24"/>
                <w:szCs w:val="24"/>
                <w:lang w:val="en-US" w:eastAsia="zh-CN"/>
              </w:rPr>
              <w:t>1</w:t>
            </w:r>
            <w:r>
              <w:rPr>
                <w:rFonts w:hint="eastAsia" w:ascii="仿宋" w:hAnsi="仿宋" w:eastAsia="仿宋" w:cs="Arial Unicode MS"/>
                <w:color w:val="auto"/>
                <w:kern w:val="0"/>
                <w:sz w:val="24"/>
                <w:szCs w:val="24"/>
              </w:rPr>
              <w:t>分</w:t>
            </w:r>
            <w:r>
              <w:rPr>
                <w:rFonts w:ascii="仿宋" w:hAnsi="仿宋" w:eastAsia="仿宋" w:cs="Arial Unicode MS"/>
                <w:color w:val="auto"/>
                <w:kern w:val="0"/>
                <w:sz w:val="24"/>
                <w:szCs w:val="24"/>
              </w:rPr>
              <w:t>；</w:t>
            </w:r>
          </w:p>
          <w:p w14:paraId="473765F1">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没有项目管理、进度安排</w:t>
            </w:r>
            <w:r>
              <w:rPr>
                <w:rFonts w:hint="eastAsia" w:ascii="仿宋" w:hAnsi="仿宋" w:eastAsia="仿宋" w:cs="Arial Unicode MS"/>
                <w:color w:val="auto"/>
                <w:kern w:val="0"/>
                <w:sz w:val="24"/>
                <w:szCs w:val="24"/>
              </w:rPr>
              <w:t>，得0分</w:t>
            </w:r>
            <w:r>
              <w:rPr>
                <w:rFonts w:ascii="仿宋" w:hAnsi="仿宋" w:eastAsia="仿宋" w:cs="Arial Unicode MS"/>
                <w:color w:val="auto"/>
                <w:kern w:val="0"/>
                <w:sz w:val="24"/>
                <w:szCs w:val="24"/>
              </w:rPr>
              <w:t>。</w:t>
            </w:r>
          </w:p>
        </w:tc>
        <w:tc>
          <w:tcPr>
            <w:tcW w:w="515" w:type="pct"/>
            <w:shd w:val="clear" w:color="auto" w:fill="auto"/>
            <w:vAlign w:val="center"/>
          </w:tcPr>
          <w:p w14:paraId="71BCDF6B">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lang w:val="en-US" w:eastAsia="zh-CN" w:bidi="ar-SA"/>
              </w:rPr>
            </w:pPr>
            <w:r>
              <w:rPr>
                <w:rFonts w:hint="eastAsia" w:ascii="仿宋" w:hAnsi="仿宋" w:eastAsia="仿宋" w:cs="Arial Unicode MS"/>
                <w:color w:val="auto"/>
                <w:kern w:val="0"/>
                <w:sz w:val="24"/>
                <w:szCs w:val="24"/>
              </w:rPr>
              <w:t>5</w:t>
            </w:r>
          </w:p>
        </w:tc>
        <w:tc>
          <w:tcPr>
            <w:tcW w:w="441" w:type="pct"/>
            <w:vAlign w:val="center"/>
          </w:tcPr>
          <w:p w14:paraId="395E8256">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r>
      <w:tr w14:paraId="4EA28F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92" w:type="pct"/>
            <w:vAlign w:val="center"/>
          </w:tcPr>
          <w:p w14:paraId="404862B6">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（四）</w:t>
            </w:r>
          </w:p>
        </w:tc>
        <w:tc>
          <w:tcPr>
            <w:tcW w:w="563" w:type="pct"/>
            <w:gridSpan w:val="2"/>
            <w:vAlign w:val="center"/>
          </w:tcPr>
          <w:p w14:paraId="5F20BE75">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bCs/>
                <w:color w:val="auto"/>
                <w:kern w:val="0"/>
                <w:sz w:val="24"/>
                <w:szCs w:val="24"/>
                <w:lang w:eastAsia="zh-CN"/>
              </w:rPr>
            </w:pPr>
            <w:r>
              <w:rPr>
                <w:rFonts w:hint="eastAsia" w:ascii="仿宋" w:hAnsi="仿宋" w:eastAsia="仿宋" w:cs="Arial Unicode MS"/>
                <w:color w:val="auto"/>
                <w:kern w:val="0"/>
                <w:sz w:val="24"/>
                <w:szCs w:val="24"/>
              </w:rPr>
              <w:t>质量控制措施</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5分</w:t>
            </w:r>
            <w:r>
              <w:rPr>
                <w:rFonts w:hint="eastAsia" w:ascii="仿宋" w:hAnsi="仿宋" w:eastAsia="仿宋" w:cs="Arial Unicode MS"/>
                <w:color w:val="auto"/>
                <w:kern w:val="0"/>
                <w:sz w:val="24"/>
                <w:szCs w:val="24"/>
                <w:lang w:eastAsia="zh-CN"/>
              </w:rPr>
              <w:t>）</w:t>
            </w:r>
          </w:p>
        </w:tc>
        <w:tc>
          <w:tcPr>
            <w:tcW w:w="2987" w:type="pct"/>
            <w:vAlign w:val="center"/>
          </w:tcPr>
          <w:p w14:paraId="692314B3">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针对本项目有提供完善到位的质量保证和质量控制措施，按照相关规范、标准制定质量控制方案及质量检测方案，方案完全满足本项目要求的，得</w:t>
            </w:r>
            <w:r>
              <w:rPr>
                <w:rFonts w:hint="eastAsia" w:ascii="仿宋" w:hAnsi="仿宋" w:eastAsia="仿宋" w:cs="Arial Unicode MS"/>
                <w:color w:val="auto"/>
                <w:kern w:val="0"/>
                <w:sz w:val="24"/>
                <w:szCs w:val="24"/>
                <w:lang w:val="en-US" w:eastAsia="zh-CN"/>
              </w:rPr>
              <w:t>5</w:t>
            </w:r>
            <w:r>
              <w:rPr>
                <w:rFonts w:hint="eastAsia" w:ascii="仿宋" w:hAnsi="仿宋" w:eastAsia="仿宋" w:cs="Arial Unicode MS"/>
                <w:color w:val="auto"/>
                <w:kern w:val="0"/>
                <w:sz w:val="24"/>
                <w:szCs w:val="24"/>
              </w:rPr>
              <w:t>分；</w:t>
            </w:r>
          </w:p>
          <w:p w14:paraId="5FD96AE3">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针对本项目有提供较完善到位的质量保证和质量控制措施，按照相关规范、标准制定质量控制方案及质量检测方案，方案较能满足本项目要求的，得4分；</w:t>
            </w:r>
          </w:p>
          <w:p w14:paraId="706DD59D">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针对本项目提供的质量保证和质量控制措施不够完善，有按照相关规范、标准制定质量控制方案及质量检测方案，方案基本能满足本项目要求的，得</w:t>
            </w:r>
            <w:r>
              <w:rPr>
                <w:rFonts w:hint="eastAsia" w:ascii="仿宋" w:hAnsi="仿宋" w:eastAsia="仿宋" w:cs="Arial Unicode MS"/>
                <w:color w:val="auto"/>
                <w:kern w:val="0"/>
                <w:sz w:val="24"/>
                <w:szCs w:val="24"/>
                <w:lang w:val="en-US" w:eastAsia="zh-CN"/>
              </w:rPr>
              <w:t>3</w:t>
            </w:r>
            <w:r>
              <w:rPr>
                <w:rFonts w:hint="eastAsia" w:ascii="仿宋" w:hAnsi="仿宋" w:eastAsia="仿宋" w:cs="Arial Unicode MS"/>
                <w:color w:val="auto"/>
                <w:kern w:val="0"/>
                <w:sz w:val="24"/>
                <w:szCs w:val="24"/>
              </w:rPr>
              <w:t>分；</w:t>
            </w:r>
          </w:p>
          <w:p w14:paraId="35C1C5D0">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针对本项目的质量保证和质量控制措施不完善，未按照相关规范、标准制定质量控制方案及质量检测方案，方案大部分无法满足本项目要求的，得</w:t>
            </w:r>
            <w:r>
              <w:rPr>
                <w:rFonts w:hint="eastAsia" w:ascii="仿宋" w:hAnsi="仿宋" w:eastAsia="仿宋" w:cs="Arial Unicode MS"/>
                <w:color w:val="auto"/>
                <w:kern w:val="0"/>
                <w:sz w:val="24"/>
                <w:szCs w:val="24"/>
                <w:lang w:val="en-US" w:eastAsia="zh-CN"/>
              </w:rPr>
              <w:t>1</w:t>
            </w:r>
            <w:r>
              <w:rPr>
                <w:rFonts w:hint="eastAsia" w:ascii="仿宋" w:hAnsi="仿宋" w:eastAsia="仿宋" w:cs="Arial Unicode MS"/>
                <w:color w:val="auto"/>
                <w:kern w:val="0"/>
                <w:sz w:val="24"/>
                <w:szCs w:val="24"/>
              </w:rPr>
              <w:t>分；</w:t>
            </w:r>
          </w:p>
          <w:p w14:paraId="30E03B7D">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bCs/>
                <w:color w:val="auto"/>
                <w:kern w:val="0"/>
                <w:sz w:val="24"/>
                <w:szCs w:val="24"/>
              </w:rPr>
            </w:pPr>
            <w:r>
              <w:rPr>
                <w:rFonts w:hint="eastAsia" w:ascii="仿宋" w:hAnsi="仿宋" w:eastAsia="仿宋" w:cs="Arial Unicode MS"/>
                <w:color w:val="auto"/>
                <w:kern w:val="0"/>
                <w:sz w:val="24"/>
                <w:szCs w:val="24"/>
              </w:rPr>
              <w:t>未提供得0分。</w:t>
            </w:r>
          </w:p>
        </w:tc>
        <w:tc>
          <w:tcPr>
            <w:tcW w:w="515" w:type="pct"/>
            <w:shd w:val="clear" w:color="auto" w:fill="auto"/>
            <w:vAlign w:val="center"/>
          </w:tcPr>
          <w:p w14:paraId="589923D5">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color w:val="auto"/>
                <w:kern w:val="0"/>
                <w:sz w:val="24"/>
                <w:szCs w:val="24"/>
                <w:lang w:val="en-US" w:eastAsia="zh-CN" w:bidi="ar-SA"/>
              </w:rPr>
            </w:pPr>
            <w:r>
              <w:rPr>
                <w:rFonts w:hint="eastAsia" w:ascii="仿宋" w:hAnsi="仿宋" w:eastAsia="仿宋" w:cs="Arial Unicode MS"/>
                <w:color w:val="auto"/>
                <w:kern w:val="0"/>
                <w:sz w:val="24"/>
                <w:szCs w:val="24"/>
                <w:lang w:val="en-US" w:eastAsia="zh-CN"/>
              </w:rPr>
              <w:t>5</w:t>
            </w:r>
          </w:p>
        </w:tc>
        <w:tc>
          <w:tcPr>
            <w:tcW w:w="441" w:type="pct"/>
            <w:vAlign w:val="center"/>
          </w:tcPr>
          <w:p w14:paraId="435374D4">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color w:val="auto"/>
                <w:kern w:val="0"/>
                <w:sz w:val="24"/>
                <w:szCs w:val="24"/>
                <w:lang w:eastAsia="zh-CN"/>
              </w:rPr>
            </w:pPr>
          </w:p>
        </w:tc>
      </w:tr>
      <w:tr w14:paraId="77A38B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92" w:type="pct"/>
            <w:vAlign w:val="center"/>
          </w:tcPr>
          <w:p w14:paraId="23B06430">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（五）</w:t>
            </w:r>
          </w:p>
        </w:tc>
        <w:tc>
          <w:tcPr>
            <w:tcW w:w="563" w:type="pct"/>
            <w:gridSpan w:val="2"/>
            <w:vAlign w:val="center"/>
          </w:tcPr>
          <w:p w14:paraId="07F0DE2A">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color w:val="auto"/>
                <w:kern w:val="0"/>
                <w:sz w:val="24"/>
                <w:szCs w:val="24"/>
                <w:lang w:eastAsia="zh-CN"/>
              </w:rPr>
            </w:pPr>
            <w:r>
              <w:rPr>
                <w:rFonts w:hint="eastAsia" w:ascii="仿宋" w:hAnsi="仿宋" w:eastAsia="仿宋" w:cs="Arial Unicode MS"/>
                <w:color w:val="auto"/>
                <w:kern w:val="0"/>
                <w:sz w:val="24"/>
                <w:szCs w:val="24"/>
              </w:rPr>
              <w:t>保密措施</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3分</w:t>
            </w:r>
            <w:r>
              <w:rPr>
                <w:rFonts w:hint="eastAsia" w:ascii="仿宋" w:hAnsi="仿宋" w:eastAsia="仿宋" w:cs="Arial Unicode MS"/>
                <w:color w:val="auto"/>
                <w:kern w:val="0"/>
                <w:sz w:val="24"/>
                <w:szCs w:val="24"/>
                <w:lang w:eastAsia="zh-CN"/>
              </w:rPr>
              <w:t>）</w:t>
            </w:r>
          </w:p>
        </w:tc>
        <w:tc>
          <w:tcPr>
            <w:tcW w:w="2987" w:type="pct"/>
            <w:vAlign w:val="center"/>
          </w:tcPr>
          <w:p w14:paraId="244BE5DA">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bCs/>
                <w:color w:val="auto"/>
                <w:kern w:val="0"/>
                <w:sz w:val="24"/>
                <w:szCs w:val="24"/>
              </w:rPr>
            </w:pPr>
            <w:r>
              <w:rPr>
                <w:rFonts w:hint="eastAsia" w:ascii="仿宋" w:hAnsi="仿宋" w:eastAsia="仿宋" w:cs="Arial Unicode MS"/>
                <w:color w:val="auto"/>
                <w:kern w:val="0"/>
                <w:sz w:val="24"/>
                <w:szCs w:val="24"/>
              </w:rPr>
              <w:t>包括但不限于</w:t>
            </w:r>
            <w:r>
              <w:rPr>
                <w:rFonts w:hint="eastAsia" w:ascii="仿宋" w:hAnsi="仿宋" w:eastAsia="仿宋" w:cs="Arial Unicode MS"/>
                <w:bCs/>
                <w:color w:val="auto"/>
                <w:kern w:val="0"/>
                <w:sz w:val="24"/>
                <w:szCs w:val="24"/>
              </w:rPr>
              <w:t>采样检测及结果的保密措施：</w:t>
            </w:r>
          </w:p>
          <w:p w14:paraId="7A45A6BF">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保密措施具体、详细，可行性高，得3分；</w:t>
            </w:r>
          </w:p>
          <w:p w14:paraId="52C8C344">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保密措施较具体、详细，可行性较高，得2分；</w:t>
            </w:r>
          </w:p>
          <w:p w14:paraId="4543B4E6">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保密措施不够具体，有一定可行性，得1分；</w:t>
            </w:r>
          </w:p>
          <w:p w14:paraId="1ECD6213">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保密措施不具体，可行性低，或未提供得0分。</w:t>
            </w:r>
          </w:p>
        </w:tc>
        <w:tc>
          <w:tcPr>
            <w:tcW w:w="515" w:type="pct"/>
            <w:shd w:val="clear" w:color="auto" w:fill="auto"/>
            <w:vAlign w:val="center"/>
          </w:tcPr>
          <w:p w14:paraId="6ABE0A20">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lang w:val="en-US" w:eastAsia="zh-CN" w:bidi="ar-SA"/>
              </w:rPr>
            </w:pPr>
            <w:r>
              <w:rPr>
                <w:rFonts w:hint="eastAsia" w:ascii="仿宋" w:hAnsi="仿宋" w:eastAsia="仿宋" w:cs="Arial Unicode MS"/>
                <w:color w:val="auto"/>
                <w:kern w:val="0"/>
                <w:sz w:val="24"/>
                <w:szCs w:val="24"/>
              </w:rPr>
              <w:t>3</w:t>
            </w:r>
          </w:p>
        </w:tc>
        <w:tc>
          <w:tcPr>
            <w:tcW w:w="441" w:type="pct"/>
            <w:vAlign w:val="center"/>
          </w:tcPr>
          <w:p w14:paraId="10BF56E6">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r>
      <w:tr w14:paraId="4DA4E9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92" w:type="pct"/>
            <w:vMerge w:val="restart"/>
            <w:vAlign w:val="center"/>
          </w:tcPr>
          <w:p w14:paraId="03A45392">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（六）</w:t>
            </w:r>
          </w:p>
        </w:tc>
        <w:tc>
          <w:tcPr>
            <w:tcW w:w="563" w:type="pct"/>
            <w:gridSpan w:val="2"/>
            <w:vMerge w:val="restart"/>
            <w:vAlign w:val="center"/>
          </w:tcPr>
          <w:p w14:paraId="285F9823">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color w:val="auto"/>
                <w:kern w:val="0"/>
                <w:sz w:val="24"/>
                <w:szCs w:val="24"/>
                <w:lang w:eastAsia="zh-CN"/>
              </w:rPr>
            </w:pPr>
            <w:r>
              <w:rPr>
                <w:rFonts w:hint="eastAsia" w:ascii="仿宋" w:hAnsi="仿宋" w:eastAsia="仿宋" w:cs="Arial Unicode MS"/>
                <w:color w:val="auto"/>
                <w:kern w:val="0"/>
                <w:sz w:val="24"/>
                <w:szCs w:val="24"/>
              </w:rPr>
              <w:t>供应商检测能力认定</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37分</w:t>
            </w:r>
            <w:r>
              <w:rPr>
                <w:rFonts w:hint="eastAsia" w:ascii="仿宋" w:hAnsi="仿宋" w:eastAsia="仿宋" w:cs="Arial Unicode MS"/>
                <w:color w:val="auto"/>
                <w:kern w:val="0"/>
                <w:sz w:val="24"/>
                <w:szCs w:val="24"/>
                <w:lang w:eastAsia="zh-CN"/>
              </w:rPr>
              <w:t>）</w:t>
            </w:r>
          </w:p>
        </w:tc>
        <w:tc>
          <w:tcPr>
            <w:tcW w:w="2987" w:type="pct"/>
            <w:vAlign w:val="center"/>
          </w:tcPr>
          <w:p w14:paraId="5821BE42">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检测数目：供应商通过计量认证的环境类检测项目数≥</w:t>
            </w:r>
            <w:r>
              <w:rPr>
                <w:rFonts w:hint="eastAsia" w:ascii="仿宋" w:hAnsi="仿宋" w:eastAsia="仿宋" w:cs="Arial Unicode MS"/>
                <w:color w:val="auto"/>
                <w:kern w:val="0"/>
                <w:sz w:val="24"/>
                <w:szCs w:val="24"/>
                <w:lang w:val="en-US" w:eastAsia="zh-CN"/>
              </w:rPr>
              <w:t>15</w:t>
            </w:r>
            <w:r>
              <w:rPr>
                <w:rFonts w:ascii="仿宋" w:hAnsi="仿宋" w:eastAsia="仿宋" w:cs="Arial Unicode MS"/>
                <w:color w:val="auto"/>
                <w:kern w:val="0"/>
                <w:sz w:val="24"/>
                <w:szCs w:val="24"/>
              </w:rPr>
              <w:t>00项得</w:t>
            </w:r>
            <w:r>
              <w:rPr>
                <w:rFonts w:hint="eastAsia" w:ascii="仿宋" w:hAnsi="仿宋" w:eastAsia="仿宋" w:cs="Arial Unicode MS"/>
                <w:color w:val="auto"/>
                <w:kern w:val="0"/>
                <w:sz w:val="24"/>
                <w:szCs w:val="24"/>
                <w:lang w:val="en-US" w:eastAsia="zh-CN"/>
              </w:rPr>
              <w:t>10</w:t>
            </w:r>
            <w:r>
              <w:rPr>
                <w:rFonts w:ascii="仿宋" w:hAnsi="仿宋" w:eastAsia="仿宋" w:cs="Arial Unicode MS"/>
                <w:color w:val="auto"/>
                <w:kern w:val="0"/>
                <w:sz w:val="24"/>
                <w:szCs w:val="24"/>
              </w:rPr>
              <w:t>分，</w:t>
            </w:r>
            <w:r>
              <w:rPr>
                <w:rFonts w:hint="eastAsia" w:ascii="仿宋" w:hAnsi="仿宋" w:eastAsia="仿宋" w:cs="Arial Unicode MS"/>
                <w:color w:val="auto"/>
                <w:kern w:val="0"/>
                <w:sz w:val="24"/>
                <w:szCs w:val="24"/>
                <w:lang w:val="en-US" w:eastAsia="zh-CN"/>
              </w:rPr>
              <w:t>10</w:t>
            </w:r>
            <w:r>
              <w:rPr>
                <w:rFonts w:ascii="仿宋" w:hAnsi="仿宋" w:eastAsia="仿宋" w:cs="Arial Unicode MS"/>
                <w:color w:val="auto"/>
                <w:kern w:val="0"/>
                <w:sz w:val="24"/>
                <w:szCs w:val="24"/>
              </w:rPr>
              <w:t>0</w:t>
            </w:r>
            <w:r>
              <w:rPr>
                <w:rFonts w:hint="eastAsia" w:ascii="仿宋" w:hAnsi="仿宋" w:eastAsia="仿宋" w:cs="Arial Unicode MS"/>
                <w:color w:val="auto"/>
                <w:kern w:val="0"/>
                <w:sz w:val="24"/>
                <w:szCs w:val="24"/>
                <w:lang w:val="en-US" w:eastAsia="zh-CN"/>
              </w:rPr>
              <w:t>0</w:t>
            </w:r>
            <w:r>
              <w:rPr>
                <w:rFonts w:ascii="仿宋" w:hAnsi="仿宋" w:eastAsia="仿宋" w:cs="Arial Unicode MS"/>
                <w:color w:val="auto"/>
                <w:kern w:val="0"/>
                <w:sz w:val="24"/>
                <w:szCs w:val="24"/>
              </w:rPr>
              <w:t>项≤检测项目数＜</w:t>
            </w:r>
            <w:r>
              <w:rPr>
                <w:rFonts w:hint="eastAsia" w:ascii="仿宋" w:hAnsi="仿宋" w:eastAsia="仿宋" w:cs="Arial Unicode MS"/>
                <w:color w:val="auto"/>
                <w:kern w:val="0"/>
                <w:sz w:val="24"/>
                <w:szCs w:val="24"/>
                <w:lang w:val="en-US" w:eastAsia="zh-CN"/>
              </w:rPr>
              <w:t>15</w:t>
            </w:r>
            <w:r>
              <w:rPr>
                <w:rFonts w:ascii="仿宋" w:hAnsi="仿宋" w:eastAsia="仿宋" w:cs="Arial Unicode MS"/>
                <w:color w:val="auto"/>
                <w:kern w:val="0"/>
                <w:sz w:val="24"/>
                <w:szCs w:val="24"/>
              </w:rPr>
              <w:t>00项得</w:t>
            </w:r>
            <w:r>
              <w:rPr>
                <w:rFonts w:hint="eastAsia" w:ascii="仿宋" w:hAnsi="仿宋" w:eastAsia="仿宋" w:cs="Arial Unicode MS"/>
                <w:color w:val="auto"/>
                <w:kern w:val="0"/>
                <w:sz w:val="24"/>
                <w:szCs w:val="24"/>
                <w:lang w:val="en-US" w:eastAsia="zh-CN"/>
              </w:rPr>
              <w:t>7</w:t>
            </w:r>
            <w:r>
              <w:rPr>
                <w:rFonts w:ascii="仿宋" w:hAnsi="仿宋" w:eastAsia="仿宋" w:cs="Arial Unicode MS"/>
                <w:color w:val="auto"/>
                <w:kern w:val="0"/>
                <w:sz w:val="24"/>
                <w:szCs w:val="24"/>
              </w:rPr>
              <w:t>分，</w:t>
            </w:r>
            <w:r>
              <w:rPr>
                <w:rFonts w:hint="eastAsia" w:ascii="仿宋" w:hAnsi="仿宋" w:eastAsia="仿宋" w:cs="Arial Unicode MS"/>
                <w:color w:val="auto"/>
                <w:kern w:val="0"/>
                <w:sz w:val="24"/>
                <w:szCs w:val="24"/>
                <w:lang w:val="en-US" w:eastAsia="zh-CN"/>
              </w:rPr>
              <w:t>5</w:t>
            </w:r>
            <w:r>
              <w:rPr>
                <w:rFonts w:ascii="仿宋" w:hAnsi="仿宋" w:eastAsia="仿宋" w:cs="Arial Unicode MS"/>
                <w:color w:val="auto"/>
                <w:kern w:val="0"/>
                <w:sz w:val="24"/>
                <w:szCs w:val="24"/>
              </w:rPr>
              <w:t>00项≤检测项目数＜</w:t>
            </w:r>
            <w:r>
              <w:rPr>
                <w:rFonts w:hint="eastAsia" w:ascii="仿宋" w:hAnsi="仿宋" w:eastAsia="仿宋" w:cs="Arial Unicode MS"/>
                <w:color w:val="auto"/>
                <w:kern w:val="0"/>
                <w:sz w:val="24"/>
                <w:szCs w:val="24"/>
                <w:lang w:val="en-US" w:eastAsia="zh-CN"/>
              </w:rPr>
              <w:t>10</w:t>
            </w:r>
            <w:r>
              <w:rPr>
                <w:rFonts w:ascii="仿宋" w:hAnsi="仿宋" w:eastAsia="仿宋" w:cs="Arial Unicode MS"/>
                <w:color w:val="auto"/>
                <w:kern w:val="0"/>
                <w:sz w:val="24"/>
                <w:szCs w:val="24"/>
              </w:rPr>
              <w:t>00项的得</w:t>
            </w:r>
            <w:r>
              <w:rPr>
                <w:rFonts w:hint="eastAsia" w:ascii="仿宋" w:hAnsi="仿宋" w:eastAsia="仿宋" w:cs="Arial Unicode MS"/>
                <w:color w:val="auto"/>
                <w:kern w:val="0"/>
                <w:sz w:val="24"/>
                <w:szCs w:val="24"/>
                <w:lang w:val="en-US" w:eastAsia="zh-CN"/>
              </w:rPr>
              <w:t>4</w:t>
            </w:r>
            <w:r>
              <w:rPr>
                <w:rFonts w:ascii="仿宋" w:hAnsi="仿宋" w:eastAsia="仿宋" w:cs="Arial Unicode MS"/>
                <w:color w:val="auto"/>
                <w:kern w:val="0"/>
                <w:sz w:val="24"/>
                <w:szCs w:val="24"/>
              </w:rPr>
              <w:t>分，检测项目数＜</w:t>
            </w:r>
            <w:r>
              <w:rPr>
                <w:rFonts w:hint="eastAsia" w:ascii="仿宋" w:hAnsi="仿宋" w:eastAsia="仿宋" w:cs="Arial Unicode MS"/>
                <w:color w:val="auto"/>
                <w:kern w:val="0"/>
                <w:sz w:val="24"/>
                <w:szCs w:val="24"/>
                <w:lang w:val="en-US" w:eastAsia="zh-CN"/>
              </w:rPr>
              <w:t>5</w:t>
            </w:r>
            <w:r>
              <w:rPr>
                <w:rFonts w:ascii="仿宋" w:hAnsi="仿宋" w:eastAsia="仿宋" w:cs="Arial Unicode MS"/>
                <w:color w:val="auto"/>
                <w:kern w:val="0"/>
                <w:sz w:val="24"/>
                <w:szCs w:val="24"/>
              </w:rPr>
              <w:t>00项不得分（投标文件中须附计量认证证书及附件复印件，含检测内容部分，并将证书检测内容中与本次招标检测内容相同的部分作出明显标记以方便评审。计量认证中同一项目，多个方法的，算一个项目）。</w:t>
            </w:r>
          </w:p>
        </w:tc>
        <w:tc>
          <w:tcPr>
            <w:tcW w:w="515" w:type="pct"/>
            <w:shd w:val="clear" w:color="auto" w:fill="auto"/>
            <w:vAlign w:val="center"/>
          </w:tcPr>
          <w:p w14:paraId="7B9CFE34">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Arial Unicode MS"/>
                <w:color w:val="auto"/>
                <w:kern w:val="0"/>
                <w:sz w:val="24"/>
                <w:szCs w:val="24"/>
                <w:lang w:val="en-US" w:eastAsia="zh-CN" w:bidi="ar-SA"/>
              </w:rPr>
            </w:pPr>
            <w:r>
              <w:rPr>
                <w:rFonts w:hint="eastAsia" w:ascii="仿宋" w:hAnsi="仿宋" w:eastAsia="仿宋" w:cs="Arial Unicode MS"/>
                <w:color w:val="auto"/>
                <w:kern w:val="0"/>
                <w:sz w:val="24"/>
                <w:szCs w:val="24"/>
                <w:lang w:val="en-US" w:eastAsia="zh-CN"/>
              </w:rPr>
              <w:t>10</w:t>
            </w:r>
          </w:p>
        </w:tc>
        <w:tc>
          <w:tcPr>
            <w:tcW w:w="441" w:type="pct"/>
            <w:vAlign w:val="center"/>
          </w:tcPr>
          <w:p w14:paraId="3F3260CD">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Arial Unicode MS"/>
                <w:color w:val="auto"/>
                <w:kern w:val="0"/>
                <w:sz w:val="24"/>
                <w:szCs w:val="24"/>
                <w:lang w:val="en-US" w:eastAsia="zh-CN"/>
              </w:rPr>
            </w:pPr>
          </w:p>
        </w:tc>
      </w:tr>
      <w:tr w14:paraId="5B1F9D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92" w:type="pct"/>
            <w:vMerge w:val="continue"/>
          </w:tcPr>
          <w:p w14:paraId="24DC9689">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c>
          <w:tcPr>
            <w:tcW w:w="563" w:type="pct"/>
            <w:gridSpan w:val="2"/>
            <w:vMerge w:val="continue"/>
            <w:vAlign w:val="center"/>
          </w:tcPr>
          <w:p w14:paraId="08D3A906">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c>
          <w:tcPr>
            <w:tcW w:w="2987" w:type="pct"/>
            <w:vAlign w:val="center"/>
          </w:tcPr>
          <w:p w14:paraId="1B42CFDA">
            <w:pPr>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检测项目：</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1</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rPr>
              <w:t>水和废水、</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2</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空气和废气</w:t>
            </w:r>
            <w:r>
              <w:rPr>
                <w:rFonts w:hint="eastAsia"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3</w:t>
            </w:r>
            <w:r>
              <w:rPr>
                <w:rFonts w:hint="eastAsia" w:ascii="仿宋" w:hAnsi="仿宋" w:eastAsia="仿宋" w:cs="Arial Unicode MS"/>
                <w:color w:val="auto"/>
                <w:kern w:val="0"/>
                <w:sz w:val="24"/>
                <w:szCs w:val="24"/>
                <w:lang w:eastAsia="zh-CN"/>
              </w:rPr>
              <w:t>）噪声</w:t>
            </w:r>
            <w:r>
              <w:rPr>
                <w:rFonts w:hint="eastAsia"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4</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rPr>
              <w:t>重点行业挥发性有机废气</w:t>
            </w:r>
            <w:r>
              <w:rPr>
                <w:rFonts w:hint="eastAsia" w:ascii="仿宋" w:hAnsi="仿宋" w:eastAsia="仿宋" w:cs="Arial Unicode MS"/>
                <w:color w:val="auto"/>
                <w:kern w:val="0"/>
                <w:sz w:val="24"/>
                <w:szCs w:val="24"/>
                <w:lang w:val="en-US" w:eastAsia="zh-CN"/>
              </w:rPr>
              <w:t>、（5）</w:t>
            </w:r>
            <w:r>
              <w:rPr>
                <w:rFonts w:hint="eastAsia" w:ascii="仿宋" w:hAnsi="仿宋" w:eastAsia="仿宋" w:cs="Arial Unicode MS"/>
                <w:color w:val="auto"/>
                <w:kern w:val="0"/>
                <w:sz w:val="24"/>
                <w:szCs w:val="24"/>
              </w:rPr>
              <w:t>臭气</w:t>
            </w:r>
            <w:r>
              <w:rPr>
                <w:rFonts w:hint="eastAsia" w:ascii="仿宋" w:hAnsi="仿宋" w:eastAsia="仿宋" w:cs="Arial Unicode MS"/>
                <w:color w:val="auto"/>
                <w:kern w:val="0"/>
                <w:sz w:val="24"/>
                <w:szCs w:val="24"/>
                <w:lang w:val="en-US" w:eastAsia="zh-CN"/>
              </w:rPr>
              <w:t>浓度</w:t>
            </w:r>
            <w:r>
              <w:rPr>
                <w:rFonts w:hint="eastAsia"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6</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rPr>
              <w:t>重金属污染</w:t>
            </w:r>
            <w:r>
              <w:rPr>
                <w:rFonts w:hint="eastAsia" w:ascii="仿宋" w:hAnsi="仿宋" w:eastAsia="仿宋" w:cs="Arial Unicode MS"/>
                <w:color w:val="auto"/>
                <w:kern w:val="0"/>
                <w:sz w:val="24"/>
                <w:szCs w:val="24"/>
                <w:lang w:val="en-US" w:eastAsia="zh-CN"/>
              </w:rPr>
              <w:t>物</w:t>
            </w:r>
            <w:r>
              <w:rPr>
                <w:rFonts w:hint="eastAsia"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7</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rPr>
              <w:t>土壤和沉积物、</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8</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rPr>
              <w:t>油气回收、</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9</w:t>
            </w:r>
            <w:r>
              <w:rPr>
                <w:rFonts w:hint="eastAsia" w:ascii="仿宋" w:hAnsi="仿宋" w:eastAsia="仿宋" w:cs="Arial Unicode MS"/>
                <w:color w:val="auto"/>
                <w:kern w:val="0"/>
                <w:sz w:val="24"/>
                <w:szCs w:val="24"/>
                <w:lang w:eastAsia="zh-CN"/>
              </w:rPr>
              <w:t>）机动车和非道路移动机械尾气、（</w:t>
            </w:r>
            <w:r>
              <w:rPr>
                <w:rFonts w:hint="eastAsia" w:ascii="仿宋" w:hAnsi="仿宋" w:eastAsia="仿宋" w:cs="Arial Unicode MS"/>
                <w:color w:val="auto"/>
                <w:kern w:val="0"/>
                <w:sz w:val="24"/>
                <w:szCs w:val="24"/>
                <w:lang w:val="en-US" w:eastAsia="zh-CN"/>
              </w:rPr>
              <w:t>10</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rPr>
              <w:t>固废和危废。每个检测项目得1</w:t>
            </w:r>
            <w:r>
              <w:rPr>
                <w:rFonts w:ascii="仿宋" w:hAnsi="仿宋" w:eastAsia="仿宋" w:cs="Arial Unicode MS"/>
                <w:color w:val="auto"/>
                <w:kern w:val="0"/>
                <w:sz w:val="24"/>
                <w:szCs w:val="24"/>
              </w:rPr>
              <w:t>分，最高得</w:t>
            </w:r>
            <w:r>
              <w:rPr>
                <w:rFonts w:hint="eastAsia" w:ascii="仿宋" w:hAnsi="仿宋" w:eastAsia="仿宋" w:cs="Arial Unicode MS"/>
                <w:color w:val="auto"/>
                <w:kern w:val="0"/>
                <w:sz w:val="24"/>
                <w:szCs w:val="24"/>
              </w:rPr>
              <w:t>10</w:t>
            </w:r>
            <w:r>
              <w:rPr>
                <w:rFonts w:ascii="仿宋" w:hAnsi="仿宋" w:eastAsia="仿宋" w:cs="Arial Unicode MS"/>
                <w:color w:val="auto"/>
                <w:kern w:val="0"/>
                <w:sz w:val="24"/>
                <w:szCs w:val="24"/>
              </w:rPr>
              <w:t>分（投标文件中须附计量认证证书及附件复印件，含检测内容部分，并</w:t>
            </w:r>
            <w:r>
              <w:rPr>
                <w:rFonts w:ascii="仿宋" w:hAnsi="仿宋" w:eastAsia="仿宋" w:cs="Arial Unicode MS"/>
                <w:b/>
                <w:bCs/>
                <w:color w:val="auto"/>
                <w:kern w:val="0"/>
                <w:sz w:val="24"/>
                <w:szCs w:val="24"/>
              </w:rPr>
              <w:t>将证书检测内容中与本次招标检测内容相同的部分作出明显标记</w:t>
            </w:r>
            <w:r>
              <w:rPr>
                <w:rFonts w:ascii="仿宋" w:hAnsi="仿宋" w:eastAsia="仿宋" w:cs="Arial Unicode MS"/>
                <w:color w:val="auto"/>
                <w:kern w:val="0"/>
                <w:sz w:val="24"/>
                <w:szCs w:val="24"/>
              </w:rPr>
              <w:t>以方便评审。计量认证中同一项目，多个方法的，算一个项目）。</w:t>
            </w:r>
          </w:p>
        </w:tc>
        <w:tc>
          <w:tcPr>
            <w:tcW w:w="515" w:type="pct"/>
            <w:shd w:val="clear" w:color="auto" w:fill="auto"/>
            <w:vAlign w:val="center"/>
          </w:tcPr>
          <w:p w14:paraId="5076135A">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lang w:val="en-US" w:eastAsia="zh-CN" w:bidi="ar-SA"/>
              </w:rPr>
            </w:pPr>
            <w:r>
              <w:rPr>
                <w:rFonts w:hint="eastAsia" w:ascii="仿宋" w:hAnsi="仿宋" w:eastAsia="仿宋" w:cs="Arial Unicode MS"/>
                <w:color w:val="auto"/>
                <w:kern w:val="0"/>
                <w:sz w:val="24"/>
                <w:szCs w:val="24"/>
              </w:rPr>
              <w:t>10</w:t>
            </w:r>
          </w:p>
        </w:tc>
        <w:tc>
          <w:tcPr>
            <w:tcW w:w="441" w:type="pct"/>
            <w:vAlign w:val="center"/>
          </w:tcPr>
          <w:p w14:paraId="437278A4">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r>
      <w:tr w14:paraId="53B4A6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5" w:hRule="atLeast"/>
        </w:trPr>
        <w:tc>
          <w:tcPr>
            <w:tcW w:w="492" w:type="pct"/>
            <w:vMerge w:val="continue"/>
          </w:tcPr>
          <w:p w14:paraId="4019E03E">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c>
          <w:tcPr>
            <w:tcW w:w="563" w:type="pct"/>
            <w:gridSpan w:val="2"/>
            <w:vMerge w:val="continue"/>
            <w:vAlign w:val="center"/>
          </w:tcPr>
          <w:p w14:paraId="06CF4F08">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c>
          <w:tcPr>
            <w:tcW w:w="2987" w:type="pct"/>
            <w:vAlign w:val="center"/>
          </w:tcPr>
          <w:p w14:paraId="1BCE466F">
            <w:pPr>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分析设备：</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1）</w:t>
            </w:r>
            <w:bookmarkStart w:id="0" w:name="OLE_LINK1"/>
            <w:r>
              <w:rPr>
                <w:rFonts w:ascii="仿宋" w:hAnsi="仿宋" w:eastAsia="仿宋" w:cs="Arial Unicode MS"/>
                <w:color w:val="auto"/>
                <w:kern w:val="0"/>
                <w:sz w:val="24"/>
                <w:szCs w:val="24"/>
              </w:rPr>
              <w:t>气相色谱仪</w:t>
            </w:r>
            <w:bookmarkEnd w:id="0"/>
            <w:r>
              <w:rPr>
                <w:rFonts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2）原子吸收分光光度计、</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3）原子荧光分光光度计、</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4）</w:t>
            </w:r>
            <w:bookmarkStart w:id="1" w:name="OLE_LINK5"/>
            <w:r>
              <w:rPr>
                <w:rFonts w:hint="eastAsia" w:ascii="仿宋" w:hAnsi="仿宋" w:eastAsia="仿宋" w:cs="Arial Unicode MS"/>
                <w:color w:val="auto"/>
                <w:kern w:val="0"/>
                <w:sz w:val="24"/>
                <w:szCs w:val="24"/>
              </w:rPr>
              <w:t>全自动流动注射分析仪</w:t>
            </w:r>
            <w:bookmarkEnd w:id="1"/>
            <w:r>
              <w:rPr>
                <w:rFonts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5）气相色谱-质谱仪、</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6）</w:t>
            </w:r>
            <w:r>
              <w:rPr>
                <w:rFonts w:hint="eastAsia" w:ascii="仿宋" w:hAnsi="仿宋" w:eastAsia="仿宋" w:cs="Arial Unicode MS"/>
                <w:color w:val="auto"/>
                <w:kern w:val="0"/>
                <w:sz w:val="24"/>
                <w:szCs w:val="24"/>
                <w:lang w:val="en-US" w:eastAsia="zh-CN"/>
              </w:rPr>
              <w:t>全自动微波消解仪</w:t>
            </w:r>
            <w:r>
              <w:rPr>
                <w:rFonts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7）液相色谱仪、</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8）</w:t>
            </w:r>
            <w:bookmarkStart w:id="2" w:name="OLE_LINK4"/>
            <w:r>
              <w:rPr>
                <w:rFonts w:hint="eastAsia" w:ascii="仿宋" w:hAnsi="仿宋" w:eastAsia="仿宋" w:cs="Arial Unicode MS"/>
                <w:color w:val="auto"/>
                <w:kern w:val="0"/>
                <w:sz w:val="24"/>
                <w:szCs w:val="24"/>
              </w:rPr>
              <w:t>全自动固相萃取仪</w:t>
            </w:r>
            <w:bookmarkEnd w:id="2"/>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9）</w:t>
            </w:r>
            <w:bookmarkStart w:id="3" w:name="OLE_LINK2"/>
            <w:r>
              <w:rPr>
                <w:rFonts w:ascii="仿宋" w:hAnsi="仿宋" w:eastAsia="仿宋" w:cs="Arial Unicode MS"/>
                <w:color w:val="auto"/>
                <w:kern w:val="0"/>
                <w:sz w:val="24"/>
                <w:szCs w:val="24"/>
              </w:rPr>
              <w:t>电感耦合等离子体质谱仪</w:t>
            </w:r>
            <w:bookmarkEnd w:id="3"/>
            <w:r>
              <w:rPr>
                <w:rFonts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10）原子吸收分光光谱仪、</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11）离子色谱仪、</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12）紫外-可见分光光度计，以上每提供一类设备得</w:t>
            </w:r>
            <w:r>
              <w:rPr>
                <w:rFonts w:hint="eastAsia" w:ascii="仿宋" w:hAnsi="仿宋" w:eastAsia="仿宋" w:cs="Arial Unicode MS"/>
                <w:color w:val="auto"/>
                <w:kern w:val="0"/>
                <w:sz w:val="24"/>
                <w:szCs w:val="24"/>
              </w:rPr>
              <w:t>1</w:t>
            </w:r>
            <w:r>
              <w:rPr>
                <w:rFonts w:ascii="仿宋" w:hAnsi="仿宋" w:eastAsia="仿宋" w:cs="Arial Unicode MS"/>
                <w:color w:val="auto"/>
                <w:kern w:val="0"/>
                <w:sz w:val="24"/>
                <w:szCs w:val="24"/>
              </w:rPr>
              <w:t>分（投标文件中须附仪器设备一览表，并列出设备名称、型号、数量、质量、国产进口情况，并以仪器设备购买发票复印件为证明。仪器设备一览表名称与招标文件要求的仪器名称与仪器设备购买发票复印件的名称应三者一致</w:t>
            </w:r>
            <w:r>
              <w:rPr>
                <w:rFonts w:hint="eastAsia" w:ascii="仿宋" w:hAnsi="仿宋" w:eastAsia="仿宋" w:cs="Arial Unicode MS"/>
                <w:color w:val="auto"/>
                <w:kern w:val="0"/>
                <w:sz w:val="24"/>
                <w:szCs w:val="24"/>
              </w:rPr>
              <w:t>，不一致的设备不计分）。</w:t>
            </w:r>
          </w:p>
        </w:tc>
        <w:tc>
          <w:tcPr>
            <w:tcW w:w="515" w:type="pct"/>
            <w:shd w:val="clear" w:color="auto" w:fill="auto"/>
            <w:vAlign w:val="center"/>
          </w:tcPr>
          <w:p w14:paraId="6CAC3F34">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lang w:val="en-US" w:eastAsia="zh-CN" w:bidi="ar-SA"/>
              </w:rPr>
            </w:pPr>
            <w:r>
              <w:rPr>
                <w:rFonts w:hint="eastAsia" w:ascii="仿宋" w:hAnsi="仿宋" w:eastAsia="仿宋" w:cs="Arial Unicode MS"/>
                <w:color w:val="auto"/>
                <w:kern w:val="0"/>
                <w:sz w:val="24"/>
                <w:szCs w:val="24"/>
              </w:rPr>
              <w:t>12</w:t>
            </w:r>
          </w:p>
        </w:tc>
        <w:tc>
          <w:tcPr>
            <w:tcW w:w="441" w:type="pct"/>
            <w:vAlign w:val="center"/>
          </w:tcPr>
          <w:p w14:paraId="09EC819C">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r>
      <w:tr w14:paraId="681D76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0" w:hRule="atLeast"/>
        </w:trPr>
        <w:tc>
          <w:tcPr>
            <w:tcW w:w="492" w:type="pct"/>
            <w:vMerge w:val="continue"/>
          </w:tcPr>
          <w:p w14:paraId="15545339">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c>
          <w:tcPr>
            <w:tcW w:w="563" w:type="pct"/>
            <w:gridSpan w:val="2"/>
            <w:vMerge w:val="continue"/>
            <w:vAlign w:val="center"/>
          </w:tcPr>
          <w:p w14:paraId="32BDF209">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c>
          <w:tcPr>
            <w:tcW w:w="2987" w:type="pct"/>
            <w:vAlign w:val="center"/>
          </w:tcPr>
          <w:p w14:paraId="2CA838B9">
            <w:pPr>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采样设备：</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1）烟尘（气）采样器、</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2）</w:t>
            </w:r>
            <w:r>
              <w:rPr>
                <w:rFonts w:hint="eastAsia" w:ascii="仿宋" w:hAnsi="仿宋" w:eastAsia="仿宋" w:cs="Arial Unicode MS"/>
                <w:color w:val="auto"/>
                <w:kern w:val="0"/>
                <w:sz w:val="24"/>
                <w:szCs w:val="24"/>
                <w:lang w:val="en-US" w:eastAsia="zh-CN"/>
              </w:rPr>
              <w:t>污水采样器</w:t>
            </w:r>
            <w:r>
              <w:rPr>
                <w:rFonts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3）</w:t>
            </w:r>
            <w:r>
              <w:rPr>
                <w:rFonts w:hint="eastAsia" w:ascii="仿宋" w:hAnsi="仿宋" w:eastAsia="仿宋" w:cs="Arial Unicode MS"/>
                <w:color w:val="auto"/>
                <w:kern w:val="0"/>
                <w:sz w:val="24"/>
                <w:szCs w:val="24"/>
                <w:lang w:val="en-US" w:eastAsia="zh-CN"/>
              </w:rPr>
              <w:t>土壤采样器</w:t>
            </w:r>
            <w:r>
              <w:rPr>
                <w:rFonts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4）空气采样器、</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5）噪声</w:t>
            </w:r>
            <w:r>
              <w:rPr>
                <w:rFonts w:hint="eastAsia" w:ascii="仿宋" w:hAnsi="仿宋" w:eastAsia="仿宋" w:cs="Arial Unicode MS"/>
                <w:color w:val="auto"/>
                <w:kern w:val="0"/>
                <w:sz w:val="24"/>
                <w:szCs w:val="24"/>
                <w:lang w:val="en-US" w:eastAsia="zh-CN"/>
              </w:rPr>
              <w:t>检测</w:t>
            </w:r>
            <w:r>
              <w:rPr>
                <w:rFonts w:ascii="仿宋" w:hAnsi="仿宋" w:eastAsia="仿宋" w:cs="Arial Unicode MS"/>
                <w:color w:val="auto"/>
                <w:kern w:val="0"/>
                <w:sz w:val="24"/>
                <w:szCs w:val="24"/>
              </w:rPr>
              <w:t>仪。</w:t>
            </w:r>
            <w:bookmarkStart w:id="4" w:name="OLE_LINK3"/>
            <w:r>
              <w:rPr>
                <w:rFonts w:hint="eastAsia" w:ascii="仿宋" w:hAnsi="仿宋" w:eastAsia="仿宋" w:cs="Arial Unicode MS"/>
                <w:color w:val="auto"/>
                <w:kern w:val="0"/>
                <w:sz w:val="24"/>
                <w:szCs w:val="24"/>
                <w:lang w:val="en-US" w:eastAsia="zh-CN"/>
              </w:rPr>
              <w:t>每</w:t>
            </w:r>
            <w:r>
              <w:rPr>
                <w:rFonts w:ascii="仿宋" w:hAnsi="仿宋" w:eastAsia="仿宋" w:cs="Arial Unicode MS"/>
                <w:color w:val="auto"/>
                <w:kern w:val="0"/>
                <w:sz w:val="24"/>
                <w:szCs w:val="24"/>
              </w:rPr>
              <w:t>种设</w:t>
            </w:r>
            <w:bookmarkEnd w:id="4"/>
            <w:r>
              <w:rPr>
                <w:rFonts w:ascii="仿宋" w:hAnsi="仿宋" w:eastAsia="仿宋" w:cs="Arial Unicode MS"/>
                <w:color w:val="auto"/>
                <w:kern w:val="0"/>
                <w:sz w:val="24"/>
                <w:szCs w:val="24"/>
              </w:rPr>
              <w:t>备</w:t>
            </w:r>
            <w:r>
              <w:rPr>
                <w:rFonts w:hint="eastAsia" w:ascii="仿宋" w:hAnsi="仿宋" w:eastAsia="仿宋" w:cs="Arial Unicode MS"/>
                <w:color w:val="auto"/>
                <w:kern w:val="0"/>
                <w:sz w:val="24"/>
                <w:szCs w:val="24"/>
                <w:lang w:val="en-US" w:eastAsia="zh-CN"/>
              </w:rPr>
              <w:t>每多</w:t>
            </w:r>
            <w:r>
              <w:rPr>
                <w:rFonts w:ascii="仿宋" w:hAnsi="仿宋" w:eastAsia="仿宋" w:cs="Arial Unicode MS"/>
                <w:color w:val="auto"/>
                <w:kern w:val="0"/>
                <w:sz w:val="24"/>
                <w:szCs w:val="24"/>
              </w:rPr>
              <w:t>一台的得</w:t>
            </w:r>
            <w:r>
              <w:rPr>
                <w:rFonts w:hint="eastAsia" w:ascii="仿宋" w:hAnsi="仿宋" w:eastAsia="仿宋" w:cs="Arial Unicode MS"/>
                <w:color w:val="auto"/>
                <w:kern w:val="0"/>
                <w:sz w:val="24"/>
                <w:szCs w:val="24"/>
              </w:rPr>
              <w:t>0.5</w:t>
            </w:r>
            <w:r>
              <w:rPr>
                <w:rFonts w:ascii="仿宋" w:hAnsi="仿宋" w:eastAsia="仿宋" w:cs="Arial Unicode MS"/>
                <w:color w:val="auto"/>
                <w:kern w:val="0"/>
                <w:sz w:val="24"/>
                <w:szCs w:val="24"/>
              </w:rPr>
              <w:t>分，</w:t>
            </w:r>
            <w:r>
              <w:rPr>
                <w:rFonts w:hint="eastAsia" w:ascii="仿宋" w:hAnsi="仿宋" w:eastAsia="仿宋" w:cs="Arial Unicode MS"/>
                <w:color w:val="auto"/>
                <w:kern w:val="0"/>
                <w:sz w:val="24"/>
                <w:szCs w:val="24"/>
                <w:lang w:val="en-US" w:eastAsia="zh-CN"/>
              </w:rPr>
              <w:t>每</w:t>
            </w:r>
            <w:r>
              <w:rPr>
                <w:rFonts w:ascii="仿宋" w:hAnsi="仿宋" w:eastAsia="仿宋" w:cs="Arial Unicode MS"/>
                <w:color w:val="auto"/>
                <w:kern w:val="0"/>
                <w:sz w:val="24"/>
                <w:szCs w:val="24"/>
              </w:rPr>
              <w:t>种设最多得</w:t>
            </w:r>
            <w:r>
              <w:rPr>
                <w:rFonts w:hint="eastAsia" w:ascii="仿宋" w:hAnsi="仿宋" w:eastAsia="仿宋" w:cs="Arial Unicode MS"/>
                <w:color w:val="auto"/>
                <w:kern w:val="0"/>
                <w:sz w:val="24"/>
                <w:szCs w:val="24"/>
                <w:lang w:val="en-US" w:eastAsia="zh-CN"/>
              </w:rPr>
              <w:t>1</w:t>
            </w:r>
            <w:r>
              <w:rPr>
                <w:rFonts w:ascii="仿宋" w:hAnsi="仿宋" w:eastAsia="仿宋" w:cs="Arial Unicode MS"/>
                <w:color w:val="auto"/>
                <w:kern w:val="0"/>
                <w:sz w:val="24"/>
                <w:szCs w:val="24"/>
              </w:rPr>
              <w:t>分。（投标文件中须附仪器设备一览表，并列出设备名称、型号、数量、质量、国产进口情况，并以仪器设备购买发票复印件为证明。仪器设备一览表名称与招标文件要求的仪器名称与仪器设备购买发票复印件的名</w:t>
            </w:r>
            <w:bookmarkStart w:id="5" w:name="_GoBack"/>
            <w:bookmarkEnd w:id="5"/>
            <w:r>
              <w:rPr>
                <w:rFonts w:ascii="仿宋" w:hAnsi="仿宋" w:eastAsia="仿宋" w:cs="Arial Unicode MS"/>
                <w:color w:val="auto"/>
                <w:kern w:val="0"/>
                <w:sz w:val="24"/>
                <w:szCs w:val="24"/>
              </w:rPr>
              <w:t>称应三者一致，不一致的设备不计分）。</w:t>
            </w:r>
          </w:p>
        </w:tc>
        <w:tc>
          <w:tcPr>
            <w:tcW w:w="515" w:type="pct"/>
            <w:shd w:val="clear" w:color="auto" w:fill="auto"/>
            <w:vAlign w:val="center"/>
          </w:tcPr>
          <w:p w14:paraId="1E37BD8B">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lang w:val="en-US" w:eastAsia="zh-CN" w:bidi="ar-SA"/>
              </w:rPr>
            </w:pPr>
            <w:r>
              <w:rPr>
                <w:rFonts w:hint="eastAsia" w:ascii="仿宋" w:hAnsi="仿宋" w:eastAsia="仿宋" w:cs="Arial Unicode MS"/>
                <w:color w:val="auto"/>
                <w:kern w:val="0"/>
                <w:sz w:val="24"/>
                <w:szCs w:val="24"/>
              </w:rPr>
              <w:t>5</w:t>
            </w:r>
          </w:p>
        </w:tc>
        <w:tc>
          <w:tcPr>
            <w:tcW w:w="441" w:type="pct"/>
            <w:vAlign w:val="center"/>
          </w:tcPr>
          <w:p w14:paraId="53F33480">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r>
      <w:tr w14:paraId="270DC2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5000" w:type="pct"/>
            <w:gridSpan w:val="6"/>
            <w:vAlign w:val="center"/>
          </w:tcPr>
          <w:p w14:paraId="02F3B576">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lang w:eastAsia="zh-CN"/>
              </w:rPr>
              <w:t>二</w:t>
            </w:r>
            <w:r>
              <w:rPr>
                <w:rFonts w:hint="eastAsia" w:ascii="仿宋" w:hAnsi="仿宋" w:eastAsia="仿宋" w:cs="Arial Unicode MS"/>
                <w:b/>
                <w:color w:val="auto"/>
                <w:kern w:val="0"/>
                <w:sz w:val="24"/>
                <w:szCs w:val="24"/>
              </w:rPr>
              <w:t>、</w:t>
            </w:r>
            <w:r>
              <w:rPr>
                <w:rFonts w:hint="eastAsia" w:ascii="仿宋" w:hAnsi="仿宋" w:eastAsia="仿宋" w:cs="Arial Unicode MS"/>
                <w:b/>
                <w:color w:val="auto"/>
                <w:kern w:val="0"/>
                <w:sz w:val="24"/>
                <w:szCs w:val="24"/>
                <w:lang w:eastAsia="zh-CN"/>
              </w:rPr>
              <w:t>资质</w:t>
            </w:r>
            <w:r>
              <w:rPr>
                <w:rFonts w:hint="eastAsia" w:ascii="仿宋" w:hAnsi="仿宋" w:eastAsia="仿宋" w:cs="Arial Unicode MS"/>
                <w:b/>
                <w:color w:val="auto"/>
                <w:kern w:val="0"/>
                <w:sz w:val="24"/>
                <w:szCs w:val="24"/>
              </w:rPr>
              <w:t>部分</w:t>
            </w:r>
            <w:r>
              <w:rPr>
                <w:rFonts w:ascii="仿宋" w:hAnsi="仿宋" w:eastAsia="仿宋" w:cs="Arial Unicode MS"/>
                <w:b/>
                <w:color w:val="auto"/>
                <w:kern w:val="0"/>
                <w:sz w:val="24"/>
                <w:szCs w:val="24"/>
              </w:rPr>
              <w:t>（</w:t>
            </w:r>
            <w:r>
              <w:rPr>
                <w:rFonts w:hint="eastAsia" w:ascii="仿宋" w:hAnsi="仿宋" w:eastAsia="仿宋" w:cs="Arial Unicode MS"/>
                <w:b/>
                <w:color w:val="auto"/>
                <w:kern w:val="0"/>
                <w:sz w:val="24"/>
                <w:szCs w:val="24"/>
                <w:lang w:val="en-US" w:eastAsia="zh-CN"/>
              </w:rPr>
              <w:t>4</w:t>
            </w:r>
            <w:r>
              <w:rPr>
                <w:rFonts w:hint="eastAsia" w:ascii="仿宋" w:hAnsi="仿宋" w:eastAsia="仿宋" w:cs="Arial Unicode MS"/>
                <w:b/>
                <w:color w:val="auto"/>
                <w:kern w:val="0"/>
                <w:sz w:val="24"/>
                <w:szCs w:val="24"/>
              </w:rPr>
              <w:t>0</w:t>
            </w:r>
            <w:r>
              <w:rPr>
                <w:rFonts w:ascii="仿宋" w:hAnsi="仿宋" w:eastAsia="仿宋" w:cs="Arial Unicode MS"/>
                <w:b/>
                <w:color w:val="auto"/>
                <w:kern w:val="0"/>
                <w:sz w:val="24"/>
                <w:szCs w:val="24"/>
              </w:rPr>
              <w:t>分）</w:t>
            </w:r>
          </w:p>
        </w:tc>
      </w:tr>
      <w:tr w14:paraId="0DDCF6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8" w:hRule="atLeast"/>
        </w:trPr>
        <w:tc>
          <w:tcPr>
            <w:tcW w:w="492" w:type="pct"/>
            <w:vAlign w:val="center"/>
          </w:tcPr>
          <w:p w14:paraId="62F6AEF1">
            <w:pPr>
              <w:keepNext w:val="0"/>
              <w:keepLines w:val="0"/>
              <w:pageBreakBefore w:val="0"/>
              <w:kinsoku/>
              <w:wordWrap/>
              <w:overflowPunct/>
              <w:topLinePunct w:val="0"/>
              <w:autoSpaceDE w:val="0"/>
              <w:autoSpaceDN w:val="0"/>
              <w:bidi w:val="0"/>
              <w:adjustRightInd w:val="0"/>
              <w:snapToGrid w:val="0"/>
              <w:spacing w:before="240" w:line="560" w:lineRule="exact"/>
              <w:ind w:left="-63" w:leftChars="-30" w:right="-88" w:rightChars="-42"/>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七</w:t>
            </w:r>
            <w:r>
              <w:rPr>
                <w:rFonts w:hint="eastAsia" w:ascii="仿宋" w:hAnsi="仿宋" w:eastAsia="仿宋" w:cs="Arial Unicode MS"/>
                <w:color w:val="auto"/>
                <w:kern w:val="0"/>
                <w:sz w:val="24"/>
                <w:szCs w:val="24"/>
              </w:rPr>
              <w:t>）</w:t>
            </w:r>
          </w:p>
        </w:tc>
        <w:tc>
          <w:tcPr>
            <w:tcW w:w="492" w:type="pct"/>
            <w:vAlign w:val="center"/>
          </w:tcPr>
          <w:p w14:paraId="7C90343C">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hint="eastAsia" w:ascii="仿宋" w:hAnsi="仿宋" w:eastAsia="仿宋" w:cs="Arial Unicode MS"/>
                <w:color w:val="auto"/>
                <w:kern w:val="0"/>
                <w:sz w:val="24"/>
                <w:szCs w:val="24"/>
                <w:lang w:eastAsia="zh-CN"/>
              </w:rPr>
            </w:pPr>
            <w:r>
              <w:rPr>
                <w:rFonts w:hint="eastAsia" w:ascii="仿宋" w:hAnsi="仿宋" w:eastAsia="仿宋" w:cs="Arial Unicode MS"/>
                <w:color w:val="auto"/>
                <w:kern w:val="0"/>
                <w:sz w:val="24"/>
                <w:szCs w:val="24"/>
              </w:rPr>
              <w:t>供应商</w:t>
            </w:r>
            <w:r>
              <w:rPr>
                <w:rFonts w:ascii="仿宋" w:hAnsi="仿宋" w:eastAsia="仿宋" w:cs="Arial Unicode MS"/>
                <w:color w:val="auto"/>
                <w:kern w:val="0"/>
                <w:sz w:val="24"/>
                <w:szCs w:val="24"/>
              </w:rPr>
              <w:t>同类</w:t>
            </w:r>
            <w:r>
              <w:rPr>
                <w:rFonts w:hint="eastAsia" w:ascii="仿宋" w:hAnsi="仿宋" w:eastAsia="仿宋" w:cs="Arial Unicode MS"/>
                <w:color w:val="auto"/>
                <w:kern w:val="0"/>
                <w:sz w:val="24"/>
                <w:szCs w:val="24"/>
              </w:rPr>
              <w:t>项目</w:t>
            </w:r>
            <w:r>
              <w:rPr>
                <w:rFonts w:ascii="仿宋" w:hAnsi="仿宋" w:eastAsia="仿宋" w:cs="Arial Unicode MS"/>
                <w:color w:val="auto"/>
                <w:kern w:val="0"/>
                <w:sz w:val="24"/>
                <w:szCs w:val="24"/>
              </w:rPr>
              <w:t>业绩</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10分</w:t>
            </w:r>
            <w:r>
              <w:rPr>
                <w:rFonts w:hint="eastAsia" w:ascii="仿宋" w:hAnsi="仿宋" w:eastAsia="仿宋" w:cs="Arial Unicode MS"/>
                <w:color w:val="auto"/>
                <w:kern w:val="0"/>
                <w:sz w:val="24"/>
                <w:szCs w:val="24"/>
                <w:lang w:eastAsia="zh-CN"/>
              </w:rPr>
              <w:t>）</w:t>
            </w:r>
          </w:p>
        </w:tc>
        <w:tc>
          <w:tcPr>
            <w:tcW w:w="3057" w:type="pct"/>
            <w:gridSpan w:val="2"/>
            <w:vAlign w:val="center"/>
          </w:tcPr>
          <w:p w14:paraId="0EF19C3C">
            <w:pPr>
              <w:keepNext w:val="0"/>
              <w:keepLines w:val="0"/>
              <w:pageBreakBefore w:val="0"/>
              <w:widowControl/>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供应商</w:t>
            </w:r>
            <w:r>
              <w:rPr>
                <w:rFonts w:hint="eastAsia" w:ascii="仿宋" w:hAnsi="仿宋" w:eastAsia="仿宋" w:cs="Arial Unicode MS"/>
                <w:color w:val="auto"/>
                <w:kern w:val="0"/>
                <w:sz w:val="24"/>
                <w:szCs w:val="24"/>
                <w:lang w:val="en-US" w:eastAsia="zh-CN"/>
              </w:rPr>
              <w:t>2022年以来</w:t>
            </w:r>
            <w:r>
              <w:rPr>
                <w:rFonts w:hint="eastAsia" w:ascii="仿宋" w:hAnsi="仿宋" w:eastAsia="仿宋" w:cs="Arial Unicode MS"/>
                <w:color w:val="auto"/>
                <w:kern w:val="0"/>
                <w:sz w:val="24"/>
                <w:szCs w:val="24"/>
              </w:rPr>
              <w:t>承接过政府部门委托的环境类检测项目的环境监测工作，每提供一份业绩合同得2</w:t>
            </w:r>
            <w:r>
              <w:rPr>
                <w:rFonts w:ascii="仿宋" w:hAnsi="仿宋" w:eastAsia="仿宋" w:cs="Arial Unicode MS"/>
                <w:color w:val="auto"/>
                <w:kern w:val="0"/>
                <w:sz w:val="24"/>
                <w:szCs w:val="24"/>
              </w:rPr>
              <w:t>分，最高得10分。</w:t>
            </w:r>
          </w:p>
          <w:p w14:paraId="16956573">
            <w:pPr>
              <w:keepNext w:val="0"/>
              <w:keepLines w:val="0"/>
              <w:pageBreakBefore w:val="0"/>
              <w:widowControl/>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shd w:val="clear" w:color="auto" w:fill="FFFFFF"/>
              </w:rPr>
            </w:pPr>
            <w:r>
              <w:rPr>
                <w:rFonts w:ascii="仿宋" w:hAnsi="仿宋" w:eastAsia="仿宋" w:cs="Arial Unicode MS"/>
                <w:b/>
                <w:bCs/>
                <w:color w:val="auto"/>
                <w:kern w:val="0"/>
                <w:sz w:val="24"/>
                <w:szCs w:val="24"/>
              </w:rPr>
              <w:t>注：提供加盖公章的合同关</w:t>
            </w:r>
            <w:r>
              <w:rPr>
                <w:rFonts w:hint="eastAsia" w:ascii="仿宋" w:hAnsi="仿宋" w:eastAsia="仿宋" w:cs="Arial Unicode MS"/>
                <w:b/>
                <w:bCs/>
                <w:color w:val="auto"/>
                <w:kern w:val="0"/>
                <w:sz w:val="24"/>
                <w:szCs w:val="24"/>
              </w:rPr>
              <w:t>键信息（含签订合同双方的单位名称、合同项目名称、服务内容与含签订合同双方的落款盖章、签订日期的关键页）</w:t>
            </w:r>
            <w:r>
              <w:rPr>
                <w:rFonts w:ascii="仿宋" w:hAnsi="仿宋" w:eastAsia="仿宋" w:cs="Arial Unicode MS"/>
                <w:b/>
                <w:bCs/>
                <w:color w:val="auto"/>
                <w:kern w:val="0"/>
                <w:sz w:val="24"/>
                <w:szCs w:val="24"/>
              </w:rPr>
              <w:t>复印件作为得分依据</w:t>
            </w:r>
            <w:r>
              <w:rPr>
                <w:rFonts w:hint="eastAsia" w:ascii="仿宋" w:hAnsi="仿宋" w:eastAsia="仿宋" w:cs="Arial Unicode MS"/>
                <w:b/>
                <w:bCs/>
                <w:color w:val="auto"/>
                <w:kern w:val="0"/>
                <w:sz w:val="24"/>
                <w:szCs w:val="24"/>
                <w:shd w:val="clear" w:color="auto" w:fill="FFFFFF"/>
              </w:rPr>
              <w:t>，以合同签订时间为准。</w:t>
            </w:r>
          </w:p>
        </w:tc>
        <w:tc>
          <w:tcPr>
            <w:tcW w:w="515" w:type="pct"/>
            <w:shd w:val="clear" w:color="auto" w:fill="auto"/>
            <w:vAlign w:val="center"/>
          </w:tcPr>
          <w:p w14:paraId="6AB9EEE5">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color w:val="auto"/>
                <w:kern w:val="0"/>
                <w:sz w:val="24"/>
                <w:szCs w:val="24"/>
                <w:lang w:val="en-US" w:eastAsia="zh-CN" w:bidi="ar-SA"/>
              </w:rPr>
            </w:pPr>
            <w:r>
              <w:rPr>
                <w:rFonts w:hint="eastAsia" w:ascii="仿宋" w:hAnsi="仿宋" w:eastAsia="仿宋" w:cs="Arial Unicode MS"/>
                <w:color w:val="auto"/>
                <w:kern w:val="0"/>
                <w:sz w:val="24"/>
                <w:szCs w:val="24"/>
              </w:rPr>
              <w:t>10</w:t>
            </w:r>
          </w:p>
        </w:tc>
        <w:tc>
          <w:tcPr>
            <w:tcW w:w="441" w:type="pct"/>
            <w:vAlign w:val="center"/>
          </w:tcPr>
          <w:p w14:paraId="2DDC5D91">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color w:val="auto"/>
                <w:kern w:val="0"/>
                <w:sz w:val="24"/>
                <w:szCs w:val="24"/>
              </w:rPr>
            </w:pPr>
          </w:p>
        </w:tc>
      </w:tr>
      <w:tr w14:paraId="18A33E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92" w:type="pct"/>
            <w:vAlign w:val="center"/>
          </w:tcPr>
          <w:p w14:paraId="72A4CB9D">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八</w:t>
            </w:r>
            <w:r>
              <w:rPr>
                <w:rFonts w:hint="eastAsia" w:ascii="仿宋" w:hAnsi="仿宋" w:eastAsia="仿宋" w:cs="Arial Unicode MS"/>
                <w:color w:val="auto"/>
                <w:kern w:val="0"/>
                <w:sz w:val="24"/>
                <w:szCs w:val="24"/>
              </w:rPr>
              <w:t>）</w:t>
            </w:r>
          </w:p>
        </w:tc>
        <w:tc>
          <w:tcPr>
            <w:tcW w:w="492" w:type="pct"/>
            <w:vAlign w:val="center"/>
          </w:tcPr>
          <w:p w14:paraId="1C84FE22">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hint="eastAsia" w:ascii="仿宋" w:hAnsi="仿宋" w:eastAsia="仿宋" w:cs="Arial Unicode MS"/>
                <w:color w:val="auto"/>
                <w:kern w:val="0"/>
                <w:sz w:val="24"/>
                <w:szCs w:val="24"/>
                <w:lang w:eastAsia="zh-CN"/>
              </w:rPr>
            </w:pPr>
            <w:r>
              <w:rPr>
                <w:rFonts w:hint="eastAsia" w:ascii="仿宋" w:hAnsi="仿宋" w:eastAsia="仿宋" w:cs="Arial Unicode MS"/>
                <w:color w:val="auto"/>
                <w:kern w:val="0"/>
                <w:sz w:val="24"/>
                <w:szCs w:val="24"/>
              </w:rPr>
              <w:t>供应商综合实力</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6分</w:t>
            </w:r>
            <w:r>
              <w:rPr>
                <w:rFonts w:hint="eastAsia" w:ascii="仿宋" w:hAnsi="仿宋" w:eastAsia="仿宋" w:cs="Arial Unicode MS"/>
                <w:color w:val="auto"/>
                <w:kern w:val="0"/>
                <w:sz w:val="24"/>
                <w:szCs w:val="24"/>
                <w:lang w:eastAsia="zh-CN"/>
              </w:rPr>
              <w:t>）</w:t>
            </w:r>
          </w:p>
        </w:tc>
        <w:tc>
          <w:tcPr>
            <w:tcW w:w="3057" w:type="pct"/>
            <w:gridSpan w:val="2"/>
            <w:vAlign w:val="center"/>
          </w:tcPr>
          <w:p w14:paraId="43067E58">
            <w:pPr>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供应商具有</w:t>
            </w:r>
            <w:r>
              <w:rPr>
                <w:rFonts w:ascii="仿宋" w:hAnsi="仿宋" w:eastAsia="仿宋" w:cs="Arial Unicode MS"/>
                <w:color w:val="auto"/>
                <w:kern w:val="0"/>
                <w:sz w:val="24"/>
                <w:szCs w:val="24"/>
              </w:rPr>
              <w:t>ISO9001、ISO14001、OHSAS18001管理体系认证证书的，有一个证书得2分（最高不超过6分）</w:t>
            </w:r>
            <w:r>
              <w:rPr>
                <w:rFonts w:hint="eastAsia" w:ascii="仿宋" w:hAnsi="仿宋" w:eastAsia="仿宋" w:cs="Arial Unicode MS"/>
                <w:color w:val="auto"/>
                <w:kern w:val="0"/>
                <w:sz w:val="24"/>
                <w:szCs w:val="24"/>
              </w:rPr>
              <w:t>。</w:t>
            </w:r>
          </w:p>
          <w:p w14:paraId="02D8C248">
            <w:pPr>
              <w:keepNext w:val="0"/>
              <w:keepLines w:val="0"/>
              <w:pageBreakBefore w:val="0"/>
              <w:kinsoku/>
              <w:wordWrap/>
              <w:overflowPunct/>
              <w:topLinePunct w:val="0"/>
              <w:bidi w:val="0"/>
              <w:spacing w:line="560" w:lineRule="exact"/>
              <w:textAlignment w:val="auto"/>
              <w:rPr>
                <w:rFonts w:ascii="仿宋" w:hAnsi="仿宋" w:eastAsia="仿宋" w:cs="Arial Unicode MS"/>
                <w:b/>
                <w:bCs/>
                <w:color w:val="auto"/>
              </w:rPr>
            </w:pPr>
            <w:r>
              <w:rPr>
                <w:rFonts w:hint="eastAsia" w:ascii="仿宋" w:hAnsi="仿宋" w:eastAsia="仿宋" w:cs="Arial Unicode MS"/>
                <w:b/>
                <w:bCs/>
                <w:color w:val="auto"/>
              </w:rPr>
              <w:t>注：以上须提供以上证明材料复印件，并加盖公章，不提供的不得分。</w:t>
            </w:r>
          </w:p>
        </w:tc>
        <w:tc>
          <w:tcPr>
            <w:tcW w:w="515" w:type="pct"/>
            <w:shd w:val="clear" w:color="auto" w:fill="auto"/>
            <w:vAlign w:val="center"/>
          </w:tcPr>
          <w:p w14:paraId="3CF5EC75">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color w:val="auto"/>
                <w:kern w:val="0"/>
                <w:sz w:val="24"/>
                <w:szCs w:val="24"/>
                <w:lang w:val="en-US" w:eastAsia="zh-CN" w:bidi="ar-SA"/>
              </w:rPr>
            </w:pPr>
            <w:r>
              <w:rPr>
                <w:rFonts w:hint="eastAsia" w:ascii="仿宋" w:hAnsi="仿宋" w:eastAsia="仿宋" w:cs="Arial Unicode MS"/>
                <w:color w:val="auto"/>
                <w:kern w:val="0"/>
                <w:sz w:val="24"/>
                <w:szCs w:val="24"/>
              </w:rPr>
              <w:t>6</w:t>
            </w:r>
          </w:p>
        </w:tc>
        <w:tc>
          <w:tcPr>
            <w:tcW w:w="441" w:type="pct"/>
            <w:vAlign w:val="center"/>
          </w:tcPr>
          <w:p w14:paraId="40BF9387">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color w:val="auto"/>
                <w:kern w:val="0"/>
                <w:sz w:val="24"/>
                <w:szCs w:val="24"/>
              </w:rPr>
            </w:pPr>
          </w:p>
        </w:tc>
      </w:tr>
      <w:tr w14:paraId="109460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492" w:type="pct"/>
            <w:vAlign w:val="center"/>
          </w:tcPr>
          <w:p w14:paraId="74301BF2">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九</w:t>
            </w:r>
            <w:r>
              <w:rPr>
                <w:rFonts w:hint="eastAsia" w:ascii="仿宋" w:hAnsi="仿宋" w:eastAsia="仿宋" w:cs="Arial Unicode MS"/>
                <w:color w:val="auto"/>
                <w:kern w:val="0"/>
                <w:sz w:val="24"/>
                <w:szCs w:val="24"/>
              </w:rPr>
              <w:t>）</w:t>
            </w:r>
          </w:p>
        </w:tc>
        <w:tc>
          <w:tcPr>
            <w:tcW w:w="492" w:type="pct"/>
            <w:vAlign w:val="center"/>
          </w:tcPr>
          <w:p w14:paraId="745ABD3E">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hint="eastAsia" w:ascii="仿宋" w:hAnsi="仿宋" w:eastAsia="仿宋" w:cs="Arial Unicode MS"/>
                <w:color w:val="auto"/>
                <w:kern w:val="0"/>
                <w:sz w:val="24"/>
                <w:szCs w:val="24"/>
              </w:rPr>
            </w:pPr>
            <w:r>
              <w:rPr>
                <w:rFonts w:hint="eastAsia" w:ascii="仿宋" w:hAnsi="仿宋" w:eastAsia="仿宋" w:cs="Arial Unicode MS"/>
                <w:color w:val="auto"/>
                <w:kern w:val="0"/>
                <w:sz w:val="24"/>
                <w:szCs w:val="24"/>
              </w:rPr>
              <w:t>响应</w:t>
            </w:r>
            <w:r>
              <w:rPr>
                <w:rFonts w:hint="eastAsia" w:ascii="仿宋" w:hAnsi="仿宋" w:eastAsia="仿宋" w:cs="Arial Unicode MS"/>
                <w:color w:val="auto"/>
                <w:kern w:val="0"/>
                <w:sz w:val="24"/>
                <w:szCs w:val="24"/>
                <w:lang w:val="en-US" w:eastAsia="zh-CN"/>
              </w:rPr>
              <w:t xml:space="preserve">  </w:t>
            </w:r>
            <w:r>
              <w:rPr>
                <w:rFonts w:hint="eastAsia" w:ascii="仿宋" w:hAnsi="仿宋" w:eastAsia="仿宋" w:cs="Arial Unicode MS"/>
                <w:color w:val="auto"/>
                <w:kern w:val="0"/>
                <w:sz w:val="24"/>
                <w:szCs w:val="24"/>
              </w:rPr>
              <w:t>情况</w:t>
            </w:r>
          </w:p>
          <w:p w14:paraId="219EDA76">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hint="eastAsia" w:ascii="仿宋" w:hAnsi="仿宋" w:eastAsia="仿宋" w:cs="Arial Unicode MS"/>
                <w:color w:val="auto"/>
                <w:kern w:val="0"/>
                <w:sz w:val="24"/>
                <w:szCs w:val="24"/>
                <w:lang w:eastAsia="zh-CN"/>
              </w:rPr>
            </w:pP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10分</w:t>
            </w:r>
            <w:r>
              <w:rPr>
                <w:rFonts w:hint="eastAsia" w:ascii="仿宋" w:hAnsi="仿宋" w:eastAsia="仿宋" w:cs="Arial Unicode MS"/>
                <w:color w:val="auto"/>
                <w:kern w:val="0"/>
                <w:sz w:val="24"/>
                <w:szCs w:val="24"/>
                <w:lang w:eastAsia="zh-CN"/>
              </w:rPr>
              <w:t>）</w:t>
            </w:r>
          </w:p>
        </w:tc>
        <w:tc>
          <w:tcPr>
            <w:tcW w:w="3057" w:type="pct"/>
            <w:gridSpan w:val="2"/>
            <w:vAlign w:val="center"/>
          </w:tcPr>
          <w:p w14:paraId="088575F0">
            <w:pPr>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供应商响应时间在一小时内，得10分；</w:t>
            </w:r>
          </w:p>
          <w:p w14:paraId="4CB3E3C7">
            <w:pPr>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供应商响应时间在一小时至两小时之间，得7分；</w:t>
            </w:r>
          </w:p>
          <w:p w14:paraId="71EB04DD">
            <w:pPr>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供应商响应时间在两小时至三小时之间，得4分；</w:t>
            </w:r>
          </w:p>
          <w:p w14:paraId="012F08F7">
            <w:pPr>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其他不得分。</w:t>
            </w:r>
          </w:p>
          <w:p w14:paraId="6BA32B31">
            <w:pPr>
              <w:keepNext w:val="0"/>
              <w:keepLines w:val="0"/>
              <w:pageBreakBefore w:val="0"/>
              <w:widowControl/>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注：上述供应商实验室地址以资质认定证书所载地址为准，实验室名称与投标单位名称需一致，投标文件中须提供实验室的资质认定证书复印件加盖供应商公章。导航距离以“江门市生态环境</w:t>
            </w:r>
            <w:r>
              <w:rPr>
                <w:rFonts w:hint="eastAsia" w:ascii="仿宋" w:hAnsi="仿宋" w:eastAsia="仿宋" w:cs="Arial Unicode MS"/>
                <w:color w:val="auto"/>
                <w:kern w:val="0"/>
                <w:sz w:val="24"/>
                <w:szCs w:val="24"/>
                <w:lang w:eastAsia="zh-CN"/>
              </w:rPr>
              <w:t>台山</w:t>
            </w:r>
            <w:r>
              <w:rPr>
                <w:rFonts w:hint="eastAsia" w:ascii="仿宋" w:hAnsi="仿宋" w:eastAsia="仿宋" w:cs="Arial Unicode MS"/>
                <w:color w:val="auto"/>
                <w:kern w:val="0"/>
                <w:sz w:val="24"/>
                <w:szCs w:val="24"/>
                <w:lang w:val="en-US" w:eastAsia="zh-CN"/>
              </w:rPr>
              <w:t>分局</w:t>
            </w:r>
            <w:r>
              <w:rPr>
                <w:rFonts w:hint="eastAsia"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广东省</w:t>
            </w:r>
            <w:r>
              <w:rPr>
                <w:rFonts w:hint="eastAsia" w:ascii="仿宋" w:hAnsi="仿宋" w:eastAsia="仿宋" w:cs="Arial Unicode MS"/>
                <w:color w:val="auto"/>
                <w:kern w:val="0"/>
                <w:sz w:val="24"/>
                <w:szCs w:val="24"/>
              </w:rPr>
              <w:t>江门市</w:t>
            </w:r>
            <w:r>
              <w:rPr>
                <w:rFonts w:hint="eastAsia" w:ascii="仿宋" w:hAnsi="仿宋" w:eastAsia="仿宋" w:cs="Arial Unicode MS"/>
                <w:color w:val="auto"/>
                <w:kern w:val="0"/>
                <w:sz w:val="24"/>
                <w:szCs w:val="24"/>
                <w:lang w:val="en-US" w:eastAsia="zh-CN"/>
              </w:rPr>
              <w:t>台山市上朗路386号</w:t>
            </w:r>
            <w:r>
              <w:rPr>
                <w:rFonts w:hint="eastAsia" w:ascii="仿宋" w:hAnsi="仿宋" w:eastAsia="仿宋" w:cs="Arial Unicode MS"/>
                <w:color w:val="auto"/>
                <w:kern w:val="0"/>
                <w:sz w:val="24"/>
                <w:szCs w:val="24"/>
              </w:rPr>
              <w:t>）”为模拟采样点。供应商应使用网页版百度地图进行耗用时间查询（打开网页版百度地图-点击地图左上角搜索栏的箭头符号-选择“驾车”-</w:t>
            </w:r>
            <w:r>
              <w:rPr>
                <w:rFonts w:hint="eastAsia" w:ascii="仿宋" w:hAnsi="仿宋" w:eastAsia="仿宋" w:cs="Arial Unicode MS"/>
                <w:color w:val="auto"/>
                <w:kern w:val="0"/>
                <w:sz w:val="24"/>
                <w:szCs w:val="24"/>
                <w:lang w:val="en-US" w:eastAsia="zh-CN"/>
              </w:rPr>
              <w:t>终点</w:t>
            </w:r>
            <w:r>
              <w:rPr>
                <w:rFonts w:hint="eastAsia" w:ascii="仿宋" w:hAnsi="仿宋" w:eastAsia="仿宋" w:cs="Arial Unicode MS"/>
                <w:color w:val="auto"/>
                <w:kern w:val="0"/>
                <w:sz w:val="24"/>
                <w:szCs w:val="24"/>
              </w:rPr>
              <w:t>处填“江门市生态环境局</w:t>
            </w:r>
            <w:r>
              <w:rPr>
                <w:rFonts w:hint="eastAsia" w:ascii="仿宋" w:hAnsi="仿宋" w:eastAsia="仿宋" w:cs="Arial Unicode MS"/>
                <w:color w:val="auto"/>
                <w:kern w:val="0"/>
                <w:sz w:val="24"/>
                <w:szCs w:val="24"/>
                <w:lang w:val="en-US" w:eastAsia="zh-CN"/>
              </w:rPr>
              <w:t>台山分局</w:t>
            </w:r>
            <w:r>
              <w:rPr>
                <w:rFonts w:hint="eastAsia" w:ascii="仿宋" w:hAnsi="仿宋" w:eastAsia="仿宋" w:cs="Arial Unicode MS"/>
                <w:color w:val="auto"/>
                <w:kern w:val="0"/>
                <w:sz w:val="24"/>
                <w:szCs w:val="24"/>
              </w:rPr>
              <w:t>”，</w:t>
            </w:r>
            <w:r>
              <w:rPr>
                <w:rFonts w:hint="eastAsia" w:ascii="仿宋" w:hAnsi="仿宋" w:eastAsia="仿宋" w:cs="Arial Unicode MS"/>
                <w:color w:val="auto"/>
                <w:kern w:val="0"/>
                <w:sz w:val="24"/>
                <w:szCs w:val="24"/>
                <w:lang w:val="en-US" w:eastAsia="zh-CN"/>
              </w:rPr>
              <w:t>起</w:t>
            </w:r>
            <w:r>
              <w:rPr>
                <w:rFonts w:hint="eastAsia" w:ascii="仿宋" w:hAnsi="仿宋" w:eastAsia="仿宋" w:cs="Arial Unicode MS"/>
                <w:color w:val="auto"/>
                <w:kern w:val="0"/>
                <w:sz w:val="24"/>
                <w:szCs w:val="24"/>
              </w:rPr>
              <w:t>点处填“投标人实验室的资质认定证书所载地址”-点击搜索），以导航显示所用时间作为证明，投标文件中提供上述导航查询结果网页截图并加盖供应商公章，无则不予计分。</w:t>
            </w:r>
          </w:p>
        </w:tc>
        <w:tc>
          <w:tcPr>
            <w:tcW w:w="515" w:type="pct"/>
            <w:shd w:val="clear" w:color="auto" w:fill="auto"/>
            <w:vAlign w:val="center"/>
          </w:tcPr>
          <w:p w14:paraId="5C5A6BEE">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color w:val="auto"/>
                <w:kern w:val="0"/>
                <w:sz w:val="24"/>
                <w:szCs w:val="24"/>
                <w:lang w:val="en-US" w:eastAsia="zh-CN" w:bidi="ar-SA"/>
              </w:rPr>
            </w:pPr>
            <w:r>
              <w:rPr>
                <w:rFonts w:hint="eastAsia" w:ascii="仿宋" w:hAnsi="仿宋" w:eastAsia="仿宋" w:cs="Arial Unicode MS"/>
                <w:color w:val="auto"/>
                <w:kern w:val="0"/>
                <w:sz w:val="24"/>
                <w:szCs w:val="24"/>
              </w:rPr>
              <w:t>10</w:t>
            </w:r>
          </w:p>
        </w:tc>
        <w:tc>
          <w:tcPr>
            <w:tcW w:w="441" w:type="pct"/>
            <w:vAlign w:val="center"/>
          </w:tcPr>
          <w:p w14:paraId="499AD125">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color w:val="auto"/>
                <w:kern w:val="0"/>
                <w:sz w:val="24"/>
                <w:szCs w:val="24"/>
              </w:rPr>
            </w:pPr>
          </w:p>
        </w:tc>
      </w:tr>
      <w:tr w14:paraId="70A26B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92" w:type="pct"/>
            <w:vAlign w:val="center"/>
          </w:tcPr>
          <w:p w14:paraId="11DAD13D">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十</w:t>
            </w:r>
            <w:r>
              <w:rPr>
                <w:rFonts w:hint="eastAsia" w:ascii="仿宋" w:hAnsi="仿宋" w:eastAsia="仿宋" w:cs="Arial Unicode MS"/>
                <w:color w:val="auto"/>
                <w:kern w:val="0"/>
                <w:sz w:val="24"/>
                <w:szCs w:val="24"/>
              </w:rPr>
              <w:t>）</w:t>
            </w:r>
          </w:p>
        </w:tc>
        <w:tc>
          <w:tcPr>
            <w:tcW w:w="492" w:type="pct"/>
            <w:vAlign w:val="center"/>
          </w:tcPr>
          <w:p w14:paraId="6BF7A1E3">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项目组人员</w:t>
            </w:r>
          </w:p>
          <w:p w14:paraId="146DED71">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hint="eastAsia" w:ascii="仿宋" w:hAnsi="仿宋" w:eastAsia="仿宋" w:cs="Arial Unicode MS"/>
                <w:color w:val="auto"/>
                <w:kern w:val="0"/>
                <w:sz w:val="24"/>
                <w:szCs w:val="24"/>
                <w:lang w:eastAsia="zh-CN"/>
              </w:rPr>
            </w:pP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14分</w:t>
            </w:r>
            <w:r>
              <w:rPr>
                <w:rFonts w:hint="eastAsia" w:ascii="仿宋" w:hAnsi="仿宋" w:eastAsia="仿宋" w:cs="Arial Unicode MS"/>
                <w:color w:val="auto"/>
                <w:kern w:val="0"/>
                <w:sz w:val="24"/>
                <w:szCs w:val="24"/>
                <w:lang w:eastAsia="zh-CN"/>
              </w:rPr>
              <w:t>）</w:t>
            </w:r>
          </w:p>
        </w:tc>
        <w:tc>
          <w:tcPr>
            <w:tcW w:w="3057" w:type="pct"/>
            <w:gridSpan w:val="2"/>
            <w:vAlign w:val="center"/>
          </w:tcPr>
          <w:p w14:paraId="48F8F6A3">
            <w:pPr>
              <w:keepNext w:val="0"/>
              <w:keepLines w:val="0"/>
              <w:pageBreakBefore w:val="0"/>
              <w:widowControl/>
              <w:kinsoku/>
              <w:wordWrap/>
              <w:overflowPunct/>
              <w:topLinePunct w:val="0"/>
              <w:autoSpaceDE w:val="0"/>
              <w:autoSpaceDN w:val="0"/>
              <w:bidi w:val="0"/>
              <w:adjustRightInd w:val="0"/>
              <w:spacing w:line="560" w:lineRule="exact"/>
              <w:jc w:val="left"/>
              <w:textAlignment w:val="auto"/>
              <w:rPr>
                <w:rFonts w:ascii="仿宋" w:hAnsi="仿宋" w:eastAsia="仿宋" w:cs="Arial Unicode MS"/>
                <w:color w:val="auto"/>
                <w:kern w:val="0"/>
                <w:sz w:val="24"/>
                <w:szCs w:val="24"/>
                <w:lang w:bidi="ar"/>
              </w:rPr>
            </w:pPr>
            <w:r>
              <w:rPr>
                <w:rFonts w:ascii="仿宋" w:hAnsi="仿宋" w:eastAsia="仿宋" w:cs="Arial Unicode MS"/>
                <w:color w:val="auto"/>
                <w:kern w:val="0"/>
                <w:sz w:val="24"/>
                <w:szCs w:val="24"/>
                <w:lang w:bidi="ar"/>
              </w:rPr>
              <w:t>1</w:t>
            </w:r>
            <w:r>
              <w:rPr>
                <w:rFonts w:hint="eastAsia" w:ascii="仿宋" w:hAnsi="仿宋" w:eastAsia="仿宋" w:cs="Arial Unicode MS"/>
                <w:color w:val="auto"/>
                <w:kern w:val="0"/>
                <w:sz w:val="24"/>
                <w:szCs w:val="24"/>
                <w:lang w:bidi="ar"/>
              </w:rPr>
              <w:t>.</w:t>
            </w:r>
            <w:r>
              <w:rPr>
                <w:rFonts w:ascii="仿宋" w:hAnsi="仿宋" w:eastAsia="仿宋" w:cs="Arial Unicode MS"/>
                <w:color w:val="auto"/>
                <w:kern w:val="0"/>
                <w:sz w:val="24"/>
                <w:szCs w:val="24"/>
                <w:lang w:bidi="ar"/>
              </w:rPr>
              <w:t>项目负责人</w:t>
            </w:r>
            <w:r>
              <w:rPr>
                <w:rFonts w:hint="eastAsia" w:ascii="仿宋" w:hAnsi="仿宋" w:eastAsia="仿宋" w:cs="Arial Unicode MS"/>
                <w:color w:val="auto"/>
                <w:kern w:val="0"/>
                <w:sz w:val="24"/>
                <w:szCs w:val="24"/>
                <w:lang w:bidi="ar"/>
              </w:rPr>
              <w:t>：</w:t>
            </w:r>
          </w:p>
          <w:p w14:paraId="5EE67A5E">
            <w:pPr>
              <w:keepNext w:val="0"/>
              <w:keepLines w:val="0"/>
              <w:pageBreakBefore w:val="0"/>
              <w:widowControl/>
              <w:kinsoku/>
              <w:wordWrap/>
              <w:overflowPunct/>
              <w:topLinePunct w:val="0"/>
              <w:autoSpaceDE w:val="0"/>
              <w:autoSpaceDN w:val="0"/>
              <w:bidi w:val="0"/>
              <w:adjustRightInd w:val="0"/>
              <w:spacing w:line="560" w:lineRule="exact"/>
              <w:jc w:val="left"/>
              <w:textAlignment w:val="auto"/>
              <w:rPr>
                <w:rFonts w:ascii="仿宋" w:hAnsi="仿宋" w:eastAsia="仿宋" w:cs="Arial Unicode MS"/>
                <w:color w:val="auto"/>
                <w:kern w:val="0"/>
                <w:sz w:val="24"/>
                <w:szCs w:val="24"/>
                <w:lang w:bidi="ar"/>
              </w:rPr>
            </w:pPr>
            <w:r>
              <w:rPr>
                <w:rFonts w:hint="eastAsia" w:ascii="仿宋" w:hAnsi="仿宋" w:eastAsia="仿宋" w:cs="Arial Unicode MS"/>
                <w:color w:val="auto"/>
                <w:kern w:val="0"/>
                <w:sz w:val="24"/>
                <w:szCs w:val="24"/>
                <w:lang w:bidi="ar"/>
              </w:rPr>
              <w:t>项目负责人为环境类高级工程师职称得</w:t>
            </w:r>
            <w:r>
              <w:rPr>
                <w:rFonts w:ascii="仿宋" w:hAnsi="仿宋" w:eastAsia="仿宋" w:cs="Arial Unicode MS"/>
                <w:color w:val="auto"/>
                <w:kern w:val="0"/>
                <w:sz w:val="24"/>
                <w:szCs w:val="24"/>
                <w:lang w:bidi="ar"/>
              </w:rPr>
              <w:t>5分；项目负责人为环境类中级职称得</w:t>
            </w:r>
            <w:r>
              <w:rPr>
                <w:rFonts w:hint="eastAsia" w:ascii="仿宋" w:hAnsi="仿宋" w:eastAsia="仿宋" w:cs="Arial Unicode MS"/>
                <w:color w:val="auto"/>
                <w:kern w:val="0"/>
                <w:sz w:val="24"/>
                <w:szCs w:val="24"/>
                <w:lang w:val="en-US" w:eastAsia="zh-CN" w:bidi="ar"/>
              </w:rPr>
              <w:t>3</w:t>
            </w:r>
            <w:r>
              <w:rPr>
                <w:rFonts w:ascii="仿宋" w:hAnsi="仿宋" w:eastAsia="仿宋" w:cs="Arial Unicode MS"/>
                <w:color w:val="auto"/>
                <w:kern w:val="0"/>
                <w:sz w:val="24"/>
                <w:szCs w:val="24"/>
                <w:lang w:bidi="ar"/>
              </w:rPr>
              <w:t>分（不重复算分，得分高者算分。</w:t>
            </w:r>
          </w:p>
          <w:p w14:paraId="40695E77">
            <w:pPr>
              <w:keepNext w:val="0"/>
              <w:keepLines w:val="0"/>
              <w:pageBreakBefore w:val="0"/>
              <w:widowControl/>
              <w:kinsoku/>
              <w:wordWrap/>
              <w:overflowPunct/>
              <w:topLinePunct w:val="0"/>
              <w:autoSpaceDE w:val="0"/>
              <w:autoSpaceDN w:val="0"/>
              <w:bidi w:val="0"/>
              <w:adjustRightInd w:val="0"/>
              <w:spacing w:line="560" w:lineRule="exact"/>
              <w:jc w:val="left"/>
              <w:textAlignment w:val="auto"/>
              <w:rPr>
                <w:rFonts w:ascii="仿宋" w:hAnsi="仿宋" w:eastAsia="仿宋" w:cs="Arial Unicode MS"/>
                <w:b/>
                <w:bCs/>
                <w:color w:val="auto"/>
                <w:kern w:val="0"/>
                <w:sz w:val="24"/>
                <w:szCs w:val="24"/>
              </w:rPr>
            </w:pPr>
            <w:r>
              <w:rPr>
                <w:rFonts w:ascii="仿宋" w:hAnsi="仿宋" w:eastAsia="仿宋" w:cs="Arial Unicode MS"/>
                <w:b/>
                <w:bCs/>
                <w:color w:val="auto"/>
                <w:kern w:val="0"/>
                <w:sz w:val="24"/>
                <w:szCs w:val="24"/>
              </w:rPr>
              <w:t>注：提供项目负责人职称证书复印件</w:t>
            </w:r>
            <w:r>
              <w:rPr>
                <w:rFonts w:hint="eastAsia" w:ascii="仿宋" w:hAnsi="仿宋" w:eastAsia="仿宋" w:cs="Arial Unicode MS"/>
                <w:b/>
                <w:bCs/>
                <w:color w:val="auto"/>
                <w:kern w:val="0"/>
                <w:sz w:val="24"/>
                <w:szCs w:val="24"/>
              </w:rPr>
              <w:t>和开标前半年内</w:t>
            </w:r>
            <w:r>
              <w:rPr>
                <w:rFonts w:ascii="仿宋" w:hAnsi="仿宋" w:eastAsia="仿宋" w:cs="Arial Unicode MS"/>
                <w:b/>
                <w:bCs/>
                <w:color w:val="auto"/>
                <w:kern w:val="0"/>
                <w:sz w:val="24"/>
                <w:szCs w:val="24"/>
                <w:lang w:val="ru-RU"/>
              </w:rPr>
              <w:t>任意1个月供应商为其购买的社保证明材料复印件</w:t>
            </w:r>
            <w:r>
              <w:rPr>
                <w:rFonts w:hint="eastAsia" w:ascii="仿宋" w:hAnsi="仿宋" w:eastAsia="仿宋" w:cs="Arial Unicode MS"/>
                <w:b/>
                <w:bCs/>
                <w:color w:val="auto"/>
                <w:kern w:val="0"/>
                <w:sz w:val="24"/>
                <w:szCs w:val="24"/>
                <w:lang w:val="ru-RU"/>
              </w:rPr>
              <w:t>（投保单或社会保险参保人员缴费证明或单位代缴个人所得税税单复印件）</w:t>
            </w:r>
            <w:r>
              <w:rPr>
                <w:rFonts w:ascii="仿宋" w:hAnsi="仿宋" w:eastAsia="仿宋" w:cs="Arial Unicode MS"/>
                <w:b/>
                <w:bCs/>
                <w:color w:val="auto"/>
                <w:kern w:val="0"/>
                <w:sz w:val="24"/>
                <w:szCs w:val="24"/>
                <w:lang w:val="ru-RU"/>
              </w:rPr>
              <w:t>并加盖公章，否则不计分。</w:t>
            </w:r>
          </w:p>
          <w:p w14:paraId="2D75F362">
            <w:pPr>
              <w:keepNext w:val="0"/>
              <w:keepLines w:val="0"/>
              <w:pageBreakBefore w:val="0"/>
              <w:widowControl/>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lang w:bidi="ar"/>
              </w:rPr>
              <w:t>2</w:t>
            </w:r>
            <w:r>
              <w:rPr>
                <w:rFonts w:hint="eastAsia" w:ascii="仿宋" w:hAnsi="仿宋" w:eastAsia="仿宋" w:cs="Arial Unicode MS"/>
                <w:color w:val="auto"/>
                <w:kern w:val="0"/>
                <w:sz w:val="24"/>
                <w:szCs w:val="24"/>
                <w:lang w:bidi="ar"/>
              </w:rPr>
              <w:t>.</w:t>
            </w:r>
            <w:r>
              <w:rPr>
                <w:rFonts w:hint="eastAsia" w:ascii="仿宋" w:hAnsi="仿宋" w:eastAsia="仿宋" w:cs="Arial Unicode MS"/>
                <w:color w:val="auto"/>
                <w:kern w:val="0"/>
                <w:sz w:val="24"/>
                <w:szCs w:val="24"/>
              </w:rPr>
              <w:t>为本项目投入专业技术人员中，每一个环境相关中级职称以上人员得1</w:t>
            </w:r>
            <w:r>
              <w:rPr>
                <w:rFonts w:ascii="仿宋" w:hAnsi="仿宋" w:eastAsia="仿宋" w:cs="Arial Unicode MS"/>
                <w:color w:val="auto"/>
                <w:kern w:val="0"/>
                <w:sz w:val="24"/>
                <w:szCs w:val="24"/>
              </w:rPr>
              <w:t>分（最高得</w:t>
            </w:r>
            <w:r>
              <w:rPr>
                <w:rFonts w:hint="eastAsia" w:ascii="仿宋" w:hAnsi="仿宋" w:eastAsia="仿宋" w:cs="Arial Unicode MS"/>
                <w:color w:val="auto"/>
                <w:kern w:val="0"/>
                <w:sz w:val="24"/>
                <w:szCs w:val="24"/>
              </w:rPr>
              <w:t>4</w:t>
            </w:r>
            <w:r>
              <w:rPr>
                <w:rFonts w:ascii="仿宋" w:hAnsi="仿宋" w:eastAsia="仿宋" w:cs="Arial Unicode MS"/>
                <w:color w:val="auto"/>
                <w:kern w:val="0"/>
                <w:sz w:val="24"/>
                <w:szCs w:val="24"/>
              </w:rPr>
              <w:t>分）；每一个具有第三方培训机构颁发的环境检测上岗合格证或培训证的专职检测人员得</w:t>
            </w:r>
            <w:r>
              <w:rPr>
                <w:rFonts w:hint="eastAsia" w:ascii="仿宋" w:hAnsi="仿宋" w:eastAsia="仿宋" w:cs="Arial Unicode MS"/>
                <w:color w:val="auto"/>
                <w:kern w:val="0"/>
                <w:sz w:val="24"/>
                <w:szCs w:val="24"/>
                <w:lang w:val="en-US" w:eastAsia="zh-CN"/>
              </w:rPr>
              <w:t>0.5</w:t>
            </w:r>
            <w:r>
              <w:rPr>
                <w:rFonts w:ascii="仿宋" w:hAnsi="仿宋" w:eastAsia="仿宋" w:cs="Arial Unicode MS"/>
                <w:color w:val="auto"/>
                <w:kern w:val="0"/>
                <w:sz w:val="24"/>
                <w:szCs w:val="24"/>
              </w:rPr>
              <w:t>分（最高不超过</w:t>
            </w:r>
            <w:r>
              <w:rPr>
                <w:rFonts w:hint="eastAsia" w:ascii="仿宋" w:hAnsi="仿宋" w:eastAsia="仿宋" w:cs="Arial Unicode MS"/>
                <w:color w:val="auto"/>
                <w:kern w:val="0"/>
                <w:sz w:val="24"/>
                <w:szCs w:val="24"/>
              </w:rPr>
              <w:t>3</w:t>
            </w:r>
            <w:r>
              <w:rPr>
                <w:rFonts w:ascii="仿宋" w:hAnsi="仿宋" w:eastAsia="仿宋" w:cs="Arial Unicode MS"/>
                <w:color w:val="auto"/>
                <w:kern w:val="0"/>
                <w:sz w:val="24"/>
                <w:szCs w:val="24"/>
              </w:rPr>
              <w:t>分）；每一个具有检测检验机构资质认定内审员资格人员得0.5分（最高得2分）</w:t>
            </w:r>
          </w:p>
          <w:p w14:paraId="4F1C9A50">
            <w:pPr>
              <w:keepNext w:val="0"/>
              <w:keepLines w:val="0"/>
              <w:pageBreakBefore w:val="0"/>
              <w:widowControl/>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ascii="仿宋" w:hAnsi="仿宋" w:eastAsia="仿宋" w:cs="Arial Unicode MS"/>
                <w:b/>
                <w:bCs/>
                <w:color w:val="auto"/>
                <w:kern w:val="0"/>
                <w:sz w:val="24"/>
                <w:szCs w:val="24"/>
                <w:lang w:val="ru-RU"/>
              </w:rPr>
              <w:t>注：提供</w:t>
            </w:r>
            <w:r>
              <w:rPr>
                <w:rFonts w:hint="eastAsia" w:ascii="仿宋" w:hAnsi="仿宋" w:eastAsia="仿宋" w:cs="Arial Unicode MS"/>
                <w:b/>
                <w:bCs/>
                <w:color w:val="auto"/>
                <w:kern w:val="0"/>
                <w:sz w:val="24"/>
                <w:szCs w:val="24"/>
                <w:lang w:val="ru-RU"/>
              </w:rPr>
              <w:t>上述</w:t>
            </w:r>
            <w:r>
              <w:rPr>
                <w:rFonts w:ascii="仿宋" w:hAnsi="仿宋" w:eastAsia="仿宋" w:cs="Arial Unicode MS"/>
                <w:b/>
                <w:bCs/>
                <w:color w:val="auto"/>
                <w:kern w:val="0"/>
                <w:sz w:val="24"/>
                <w:szCs w:val="24"/>
                <w:lang w:val="ru-RU"/>
              </w:rPr>
              <w:t>人员</w:t>
            </w:r>
            <w:r>
              <w:rPr>
                <w:rFonts w:hint="eastAsia" w:ascii="仿宋" w:hAnsi="仿宋" w:eastAsia="仿宋" w:cs="Arial Unicode MS"/>
                <w:b/>
                <w:bCs/>
                <w:color w:val="auto"/>
                <w:kern w:val="0"/>
                <w:sz w:val="24"/>
                <w:szCs w:val="24"/>
                <w:lang w:val="ru-RU"/>
              </w:rPr>
              <w:t>清单，证书复印件</w:t>
            </w:r>
            <w:r>
              <w:rPr>
                <w:rFonts w:ascii="仿宋" w:hAnsi="仿宋" w:eastAsia="仿宋" w:cs="Arial Unicode MS"/>
                <w:b/>
                <w:bCs/>
                <w:color w:val="auto"/>
                <w:kern w:val="0"/>
                <w:sz w:val="24"/>
                <w:szCs w:val="24"/>
                <w:lang w:val="ru-RU"/>
              </w:rPr>
              <w:t>及</w:t>
            </w:r>
            <w:r>
              <w:rPr>
                <w:rFonts w:hint="eastAsia" w:ascii="仿宋" w:hAnsi="仿宋" w:eastAsia="仿宋" w:cs="Arial Unicode MS"/>
                <w:b/>
                <w:bCs/>
                <w:color w:val="auto"/>
                <w:kern w:val="0"/>
                <w:sz w:val="24"/>
                <w:szCs w:val="24"/>
              </w:rPr>
              <w:t>开标前半年内</w:t>
            </w:r>
            <w:r>
              <w:rPr>
                <w:rFonts w:ascii="仿宋" w:hAnsi="仿宋" w:eastAsia="仿宋" w:cs="Arial Unicode MS"/>
                <w:b/>
                <w:bCs/>
                <w:color w:val="auto"/>
                <w:kern w:val="0"/>
                <w:sz w:val="24"/>
                <w:szCs w:val="24"/>
                <w:lang w:val="ru-RU"/>
              </w:rPr>
              <w:t>任意1个月供应商为上述人员购买的社保证明材料复印件</w:t>
            </w:r>
            <w:r>
              <w:rPr>
                <w:rFonts w:hint="eastAsia" w:ascii="仿宋" w:hAnsi="仿宋" w:eastAsia="仿宋" w:cs="Arial Unicode MS"/>
                <w:b/>
                <w:bCs/>
                <w:color w:val="auto"/>
                <w:kern w:val="0"/>
                <w:sz w:val="24"/>
                <w:szCs w:val="24"/>
                <w:lang w:val="ru-RU"/>
              </w:rPr>
              <w:t>（投保单或社会保险参保人员缴费证明或单位代缴个人所得税税单复印件）</w:t>
            </w:r>
            <w:r>
              <w:rPr>
                <w:rFonts w:ascii="仿宋" w:hAnsi="仿宋" w:eastAsia="仿宋" w:cs="Arial Unicode MS"/>
                <w:b/>
                <w:bCs/>
                <w:color w:val="auto"/>
                <w:kern w:val="0"/>
                <w:sz w:val="24"/>
                <w:szCs w:val="24"/>
                <w:lang w:val="ru-RU"/>
              </w:rPr>
              <w:t>并加盖公章，否则不计分。</w:t>
            </w:r>
          </w:p>
        </w:tc>
        <w:tc>
          <w:tcPr>
            <w:tcW w:w="515" w:type="pct"/>
            <w:shd w:val="clear" w:color="auto" w:fill="auto"/>
            <w:vAlign w:val="center"/>
          </w:tcPr>
          <w:p w14:paraId="5E969DE7">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color w:val="auto"/>
                <w:kern w:val="0"/>
                <w:sz w:val="24"/>
                <w:szCs w:val="24"/>
                <w:lang w:val="en-US" w:eastAsia="zh-CN" w:bidi="ar-SA"/>
              </w:rPr>
            </w:pPr>
            <w:r>
              <w:rPr>
                <w:rFonts w:hint="eastAsia" w:ascii="仿宋" w:hAnsi="仿宋" w:eastAsia="仿宋" w:cs="Arial Unicode MS"/>
                <w:color w:val="auto"/>
                <w:kern w:val="0"/>
                <w:sz w:val="24"/>
                <w:szCs w:val="24"/>
              </w:rPr>
              <w:t>14</w:t>
            </w:r>
          </w:p>
        </w:tc>
        <w:tc>
          <w:tcPr>
            <w:tcW w:w="441" w:type="pct"/>
            <w:vAlign w:val="center"/>
          </w:tcPr>
          <w:p w14:paraId="131B2635">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color w:val="auto"/>
                <w:kern w:val="0"/>
                <w:sz w:val="24"/>
                <w:szCs w:val="24"/>
              </w:rPr>
            </w:pPr>
          </w:p>
        </w:tc>
      </w:tr>
      <w:tr w14:paraId="233AFB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trPr>
        <w:tc>
          <w:tcPr>
            <w:tcW w:w="4043" w:type="pct"/>
            <w:gridSpan w:val="4"/>
            <w:vAlign w:val="center"/>
          </w:tcPr>
          <w:p w14:paraId="7921C90A">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合计</w:t>
            </w:r>
          </w:p>
        </w:tc>
        <w:tc>
          <w:tcPr>
            <w:tcW w:w="515" w:type="pct"/>
            <w:vAlign w:val="center"/>
          </w:tcPr>
          <w:p w14:paraId="56D03338">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100</w:t>
            </w:r>
          </w:p>
        </w:tc>
        <w:tc>
          <w:tcPr>
            <w:tcW w:w="441" w:type="pct"/>
            <w:vAlign w:val="center"/>
          </w:tcPr>
          <w:p w14:paraId="0351305B">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p>
        </w:tc>
      </w:tr>
    </w:tbl>
    <w:p w14:paraId="3C860DE8"/>
    <w:p w14:paraId="7502E5DC">
      <w:pPr>
        <w:rPr>
          <w:rFonts w:hint="eastAsia" w:eastAsiaTheme="minorEastAsia"/>
          <w:sz w:val="28"/>
          <w:szCs w:val="36"/>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F8EAF5"/>
    <w:multiLevelType w:val="singleLevel"/>
    <w:tmpl w:val="4FF8EAF5"/>
    <w:lvl w:ilvl="0" w:tentative="0">
      <w:start w:val="1"/>
      <w:numFmt w:val="bullet"/>
      <w:pStyle w:val="5"/>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2MDhjZTkyMzk4ODk3NGEyN2Q2MmVmM2FjODhjOTMifQ=="/>
  </w:docVars>
  <w:rsids>
    <w:rsidRoot w:val="05FB260C"/>
    <w:rsid w:val="05FB260C"/>
    <w:rsid w:val="0C3F702F"/>
    <w:rsid w:val="1EAE53F4"/>
    <w:rsid w:val="2FC84B58"/>
    <w:rsid w:val="33C60629"/>
    <w:rsid w:val="41B25224"/>
    <w:rsid w:val="486B629C"/>
    <w:rsid w:val="5BDC1ECC"/>
    <w:rsid w:val="5CF6A3A0"/>
    <w:rsid w:val="5F28068D"/>
    <w:rsid w:val="62CA5E58"/>
    <w:rsid w:val="6ECF3979"/>
    <w:rsid w:val="79F5EC41"/>
    <w:rsid w:val="7C7FAA01"/>
    <w:rsid w:val="7FEFB424"/>
    <w:rsid w:val="97E97B8C"/>
    <w:rsid w:val="F5DB3F9E"/>
    <w:rsid w:val="FF6B4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E-mail Signature"/>
    <w:basedOn w:val="1"/>
    <w:next w:val="3"/>
    <w:qFormat/>
    <w:uiPriority w:val="0"/>
    <w:pPr>
      <w:spacing w:line="460" w:lineRule="exact"/>
      <w:ind w:firstLine="200"/>
    </w:pPr>
  </w:style>
  <w:style w:type="paragraph" w:customStyle="1" w:styleId="3">
    <w:name w:val="文章"/>
    <w:basedOn w:val="1"/>
    <w:next w:val="4"/>
    <w:qFormat/>
    <w:uiPriority w:val="0"/>
    <w:pPr>
      <w:widowControl/>
      <w:ind w:firstLine="480"/>
      <w:jc w:val="center"/>
    </w:pPr>
    <w:rPr>
      <w:sz w:val="26"/>
    </w:rPr>
  </w:style>
  <w:style w:type="paragraph" w:styleId="4">
    <w:name w:val="List"/>
    <w:basedOn w:val="1"/>
    <w:next w:val="5"/>
    <w:qFormat/>
    <w:uiPriority w:val="0"/>
    <w:pPr>
      <w:ind w:left="200" w:hanging="200" w:hangingChars="200"/>
    </w:pPr>
  </w:style>
  <w:style w:type="paragraph" w:styleId="5">
    <w:name w:val="List Bullet 2"/>
    <w:basedOn w:val="1"/>
    <w:next w:val="6"/>
    <w:qFormat/>
    <w:uiPriority w:val="0"/>
    <w:pPr>
      <w:numPr>
        <w:ilvl w:val="0"/>
        <w:numId w:val="1"/>
      </w:numPr>
    </w:pPr>
  </w:style>
  <w:style w:type="paragraph" w:customStyle="1" w:styleId="6">
    <w:name w:val="xl70"/>
    <w:basedOn w:val="1"/>
    <w:next w:val="7"/>
    <w:qFormat/>
    <w:uiPriority w:val="0"/>
    <w:pPr>
      <w:widowControl/>
      <w:spacing w:before="280" w:after="280"/>
    </w:pPr>
    <w:rPr>
      <w:rFonts w:ascii="宋体"/>
    </w:rPr>
  </w:style>
  <w:style w:type="paragraph" w:customStyle="1" w:styleId="7">
    <w:name w:val="正文缩进1"/>
    <w:basedOn w:val="1"/>
    <w:next w:val="8"/>
    <w:qFormat/>
    <w:uiPriority w:val="0"/>
    <w:pPr>
      <w:ind w:firstLine="420"/>
    </w:pPr>
    <w:rPr>
      <w:rFonts w:ascii="宋体"/>
      <w:sz w:val="28"/>
    </w:rPr>
  </w:style>
  <w:style w:type="paragraph" w:customStyle="1" w:styleId="8">
    <w:name w:val="td1"/>
    <w:basedOn w:val="1"/>
    <w:next w:val="1"/>
    <w:qFormat/>
    <w:uiPriority w:val="0"/>
    <w:pPr>
      <w:widowControl/>
      <w:spacing w:before="280" w:after="280" w:line="300" w:lineRule="atLeast"/>
      <w:ind w:firstLine="200"/>
    </w:pPr>
    <w:rPr>
      <w:color w:val="000000"/>
      <w:sz w:val="18"/>
    </w:rPr>
  </w:style>
  <w:style w:type="paragraph" w:styleId="9">
    <w:name w:val="toc 2"/>
    <w:basedOn w:val="1"/>
    <w:next w:val="2"/>
    <w:qFormat/>
    <w:uiPriority w:val="0"/>
    <w:pPr>
      <w:spacing w:before="997"/>
      <w:ind w:left="104"/>
    </w:pPr>
    <w:rPr>
      <w:rFonts w:ascii="宋体"/>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3">
    <w:name w:val="Default"/>
    <w:next w:val="14"/>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4">
    <w:name w:val="样式35"/>
    <w:basedOn w:val="1"/>
    <w:next w:val="15"/>
    <w:qFormat/>
    <w:uiPriority w:val="0"/>
    <w:pPr>
      <w:spacing w:line="312" w:lineRule="auto"/>
      <w:ind w:firstLine="567"/>
    </w:pPr>
    <w:rPr>
      <w:rFonts w:ascii="宋体"/>
      <w:sz w:val="28"/>
    </w:rPr>
  </w:style>
  <w:style w:type="paragraph" w:customStyle="1" w:styleId="15">
    <w:name w:val="font6"/>
    <w:basedOn w:val="1"/>
    <w:next w:val="9"/>
    <w:qFormat/>
    <w:uiPriority w:val="0"/>
    <w:pPr>
      <w:widowControl/>
      <w:spacing w:before="280" w:after="28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2987</Words>
  <Characters>3055</Characters>
  <Lines>0</Lines>
  <Paragraphs>0</Paragraphs>
  <TotalTime>7</TotalTime>
  <ScaleCrop>false</ScaleCrop>
  <LinksUpToDate>false</LinksUpToDate>
  <CharactersWithSpaces>3055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2022-09-24T18:59:00Z</dcterms:created>
  <dc:creator>雅琴</dc:creator>
  <cp:lastModifiedBy>四月</cp:lastModifiedBy>
  <cp:lastPrinted>2023-05-25T02:42:00Z</cp:lastPrinted>
  <dcterms:modified xsi:type="dcterms:W3CDTF">2025-05-23T07:35:08Z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7FF694AD534648FCAD35C776D73A77C0</vt:lpwstr>
  </property>
</Properties>
</file>