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056" w:type="dxa"/>
        <w:jc w:val="center"/>
        <w:tblLayout w:type="fixed"/>
        <w:tblCellMar>
          <w:top w:w="0" w:type="dxa"/>
          <w:left w:w="10" w:type="dxa"/>
          <w:bottom w:w="0" w:type="dxa"/>
          <w:right w:w="10" w:type="dxa"/>
        </w:tblCellMar>
      </w:tblPr>
      <w:tblGrid>
        <w:gridCol w:w="1046"/>
        <w:gridCol w:w="1215"/>
        <w:gridCol w:w="6919"/>
        <w:gridCol w:w="876"/>
      </w:tblGrid>
      <w:tr w14:paraId="4A5CBDC2">
        <w:trPr>
          <w:trHeight w:val="415" w:hRule="atLeast"/>
          <w:jc w:val="center"/>
        </w:trPr>
        <w:tc>
          <w:tcPr>
            <w:tcW w:w="1046"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14:paraId="77DEF4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215"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14:paraId="5207775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w:t>
            </w:r>
          </w:p>
        </w:tc>
        <w:tc>
          <w:tcPr>
            <w:tcW w:w="6919"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14:paraId="607676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评审指标</w:t>
            </w:r>
          </w:p>
        </w:tc>
        <w:tc>
          <w:tcPr>
            <w:tcW w:w="876" w:type="dxa"/>
            <w:tcBorders>
              <w:top w:val="single" w:color="000000" w:sz="8" w:space="0"/>
              <w:left w:val="single" w:color="000000" w:sz="8" w:space="0"/>
              <w:bottom w:val="single" w:color="000000" w:sz="8" w:space="0"/>
              <w:right w:val="single" w:color="000000" w:sz="4" w:space="0"/>
            </w:tcBorders>
            <w:shd w:val="clear" w:color="000000" w:fill="FFFFFF"/>
            <w:noWrap w:val="0"/>
            <w:tcMar>
              <w:left w:w="108" w:type="dxa"/>
              <w:right w:w="108" w:type="dxa"/>
            </w:tcMar>
            <w:vAlign w:val="center"/>
          </w:tcPr>
          <w:p w14:paraId="791B0E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r>
      <w:tr w14:paraId="467B877E">
        <w:tblPrEx>
          <w:tblCellMar>
            <w:top w:w="0" w:type="dxa"/>
            <w:left w:w="10" w:type="dxa"/>
            <w:bottom w:w="0" w:type="dxa"/>
            <w:right w:w="10" w:type="dxa"/>
          </w:tblCellMar>
        </w:tblPrEx>
        <w:trPr>
          <w:trHeight w:val="521" w:hRule="atLeast"/>
          <w:jc w:val="center"/>
        </w:trPr>
        <w:tc>
          <w:tcPr>
            <w:tcW w:w="1046"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14:paraId="57E5A8A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9010" w:type="dxa"/>
            <w:gridSpan w:val="3"/>
            <w:tcBorders>
              <w:top w:val="single" w:color="000000" w:sz="8" w:space="0"/>
              <w:left w:val="single" w:color="000000" w:sz="8" w:space="0"/>
              <w:bottom w:val="single" w:color="000000" w:sz="8" w:space="0"/>
              <w:right w:val="single" w:color="auto" w:sz="4" w:space="0"/>
            </w:tcBorders>
            <w:shd w:val="clear" w:color="000000" w:fill="FFFFFF"/>
            <w:noWrap w:val="0"/>
            <w:tcMar>
              <w:left w:w="108" w:type="dxa"/>
              <w:right w:w="108" w:type="dxa"/>
            </w:tcMar>
            <w:vAlign w:val="center"/>
          </w:tcPr>
          <w:p w14:paraId="386841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技术评分（</w:t>
            </w:r>
            <w:r>
              <w:rPr>
                <w:rFonts w:hint="eastAsia" w:ascii="宋体" w:hAnsi="宋体" w:eastAsia="宋体" w:cs="宋体"/>
                <w:b/>
                <w:bCs/>
                <w:color w:val="auto"/>
                <w:sz w:val="24"/>
                <w:szCs w:val="24"/>
                <w:highlight w:val="none"/>
                <w:lang w:val="en-US" w:eastAsia="zh-CN"/>
              </w:rPr>
              <w:t>50</w:t>
            </w:r>
            <w:r>
              <w:rPr>
                <w:rFonts w:hint="eastAsia" w:ascii="宋体" w:hAnsi="宋体" w:eastAsia="宋体" w:cs="宋体"/>
                <w:b/>
                <w:bCs/>
                <w:color w:val="auto"/>
                <w:sz w:val="24"/>
                <w:szCs w:val="24"/>
                <w:highlight w:val="none"/>
              </w:rPr>
              <w:t>分）</w:t>
            </w:r>
          </w:p>
        </w:tc>
      </w:tr>
      <w:tr w14:paraId="062609C7">
        <w:tblPrEx>
          <w:tblCellMar>
            <w:top w:w="0" w:type="dxa"/>
            <w:left w:w="10" w:type="dxa"/>
            <w:bottom w:w="0" w:type="dxa"/>
            <w:right w:w="10" w:type="dxa"/>
          </w:tblCellMar>
        </w:tblPrEx>
        <w:trPr>
          <w:trHeight w:val="1524" w:hRule="atLeast"/>
          <w:jc w:val="center"/>
        </w:trPr>
        <w:tc>
          <w:tcPr>
            <w:tcW w:w="1046" w:type="dxa"/>
            <w:tcBorders>
              <w:top w:val="single" w:color="auto" w:sz="4"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14:paraId="2F16490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1.1.</w:t>
            </w:r>
          </w:p>
        </w:tc>
        <w:tc>
          <w:tcPr>
            <w:tcW w:w="1215" w:type="dxa"/>
            <w:tcBorders>
              <w:top w:val="single" w:color="auto" w:sz="4"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14:paraId="711D729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技术方案</w:t>
            </w:r>
          </w:p>
        </w:tc>
        <w:tc>
          <w:tcPr>
            <w:tcW w:w="6919" w:type="dxa"/>
            <w:tcBorders>
              <w:top w:val="single" w:color="auto" w:sz="4" w:space="0"/>
              <w:left w:val="single" w:color="000000" w:sz="8" w:space="0"/>
              <w:bottom w:val="single" w:color="000000" w:sz="8" w:space="0"/>
              <w:right w:val="single" w:color="000000" w:sz="8" w:space="0"/>
            </w:tcBorders>
            <w:shd w:val="clear" w:color="000000" w:fill="FFFFFF"/>
            <w:noWrap w:val="0"/>
            <w:tcMar>
              <w:left w:w="108" w:type="dxa"/>
              <w:right w:w="108" w:type="dxa"/>
            </w:tcMar>
            <w:vAlign w:val="top"/>
          </w:tcPr>
          <w:p w14:paraId="1BAD1D9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根据响应人针对本项目制定的技术方案进行评审。</w:t>
            </w:r>
          </w:p>
          <w:p w14:paraId="1C25D89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（1）对项目要求分析准确，具体方案全面、详细合理；服务实施流程科学、可行、完全满足用户需求的，得</w:t>
            </w: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分；</w:t>
            </w:r>
          </w:p>
          <w:p w14:paraId="182E6BA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（2）对项目要求分析较准确，具体方案较全面、较合理；服务实施流程较可行、满足用户需求的，得</w:t>
            </w:r>
            <w:r>
              <w:rPr>
                <w:rFonts w:hint="eastAsia" w:ascii="宋体" w:hAnsi="宋体" w:eastAsia="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分；</w:t>
            </w:r>
          </w:p>
          <w:p w14:paraId="76CD9FF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（3）对项目要求分析基本准确，具体方案基本全面、合理；服务实施流程基本可行、基本满足用户需求的，得</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分；</w:t>
            </w:r>
          </w:p>
          <w:p w14:paraId="1E0FE1D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（4）对项目要求分析一般，具体方案不够全面、合理；服务实施流程有一定可行性、基本满足用户需求的，得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p>
          <w:p w14:paraId="4FD6727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（5）对项目要求分析不准确，具体方案不合理；服务实施流程可行性低，无法满足用户需求，或未提供技术方案的，得0分。</w:t>
            </w:r>
          </w:p>
        </w:tc>
        <w:tc>
          <w:tcPr>
            <w:tcW w:w="876" w:type="dxa"/>
            <w:tcBorders>
              <w:top w:val="single" w:color="000000" w:sz="8" w:space="0"/>
              <w:left w:val="single" w:color="000000" w:sz="8" w:space="0"/>
              <w:bottom w:val="single" w:color="000000" w:sz="8" w:space="0"/>
              <w:right w:val="single" w:color="000000" w:sz="4" w:space="0"/>
            </w:tcBorders>
            <w:shd w:val="clear" w:color="000000" w:fill="FFFFFF"/>
            <w:noWrap w:val="0"/>
            <w:tcMar>
              <w:left w:w="108" w:type="dxa"/>
              <w:right w:w="108" w:type="dxa"/>
            </w:tcMar>
            <w:vAlign w:val="center"/>
          </w:tcPr>
          <w:p w14:paraId="1AC54C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r>
      <w:tr w14:paraId="08A65953">
        <w:tblPrEx>
          <w:tblCellMar>
            <w:top w:w="0" w:type="dxa"/>
            <w:left w:w="10" w:type="dxa"/>
            <w:bottom w:w="0" w:type="dxa"/>
            <w:right w:w="10" w:type="dxa"/>
          </w:tblCellMar>
        </w:tblPrEx>
        <w:trPr>
          <w:trHeight w:val="90" w:hRule="atLeast"/>
          <w:jc w:val="center"/>
        </w:trPr>
        <w:tc>
          <w:tcPr>
            <w:tcW w:w="1046" w:type="dxa"/>
            <w:tcBorders>
              <w:top w:val="single" w:color="auto" w:sz="4"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14:paraId="5267D6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215" w:type="dxa"/>
            <w:tcBorders>
              <w:top w:val="single" w:color="auto" w:sz="4"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14:paraId="5CCF8E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项目进度保障措施</w:t>
            </w:r>
          </w:p>
        </w:tc>
        <w:tc>
          <w:tcPr>
            <w:tcW w:w="6919" w:type="dxa"/>
            <w:tcBorders>
              <w:top w:val="single" w:color="auto" w:sz="4" w:space="0"/>
              <w:left w:val="single" w:color="000000" w:sz="8" w:space="0"/>
              <w:bottom w:val="single" w:color="000000" w:sz="8" w:space="0"/>
              <w:right w:val="single" w:color="000000" w:sz="8" w:space="0"/>
            </w:tcBorders>
            <w:shd w:val="clear" w:color="000000" w:fill="FFFFFF"/>
            <w:noWrap w:val="0"/>
            <w:tcMar>
              <w:left w:w="108" w:type="dxa"/>
              <w:right w:w="108" w:type="dxa"/>
            </w:tcMar>
            <w:vAlign w:val="top"/>
          </w:tcPr>
          <w:p w14:paraId="6C0AC26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项目管理、进度安排完善、具体、全面，项目管理及进度安排合理高效、可操作性强，有计划保障，得</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p>
          <w:p w14:paraId="755DC21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项目管理、进度安排较完善，项目管理及进度安排较合理高效、可操作性较强，得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p>
          <w:p w14:paraId="51097B1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项目管理、进度安排基本完善，项目管理及进度安排不够合理、可操作性一般，得2分；</w:t>
            </w:r>
          </w:p>
          <w:p w14:paraId="14BEBB0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项目管理、进度安排不完善，项目管理及进度安排不合理、可操作性低，得1分； 没有项目管理、进度安排，得0分。</w:t>
            </w:r>
          </w:p>
        </w:tc>
        <w:tc>
          <w:tcPr>
            <w:tcW w:w="876" w:type="dxa"/>
            <w:tcBorders>
              <w:top w:val="single" w:color="000000" w:sz="8" w:space="0"/>
              <w:left w:val="single" w:color="000000" w:sz="8" w:space="0"/>
              <w:bottom w:val="single" w:color="000000" w:sz="8" w:space="0"/>
              <w:right w:val="single" w:color="000000" w:sz="4" w:space="0"/>
            </w:tcBorders>
            <w:shd w:val="clear" w:color="000000" w:fill="FFFFFF"/>
            <w:noWrap w:val="0"/>
            <w:tcMar>
              <w:left w:w="108" w:type="dxa"/>
              <w:right w:w="108" w:type="dxa"/>
            </w:tcMar>
            <w:vAlign w:val="center"/>
          </w:tcPr>
          <w:p w14:paraId="2A8FDF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r>
      <w:tr w14:paraId="3DAA09DD">
        <w:tblPrEx>
          <w:tblCellMar>
            <w:top w:w="0" w:type="dxa"/>
            <w:left w:w="10" w:type="dxa"/>
            <w:bottom w:w="0" w:type="dxa"/>
            <w:right w:w="10" w:type="dxa"/>
          </w:tblCellMar>
        </w:tblPrEx>
        <w:trPr>
          <w:trHeight w:val="1524" w:hRule="atLeast"/>
          <w:jc w:val="center"/>
        </w:trPr>
        <w:tc>
          <w:tcPr>
            <w:tcW w:w="1046" w:type="dxa"/>
            <w:tcBorders>
              <w:top w:val="single" w:color="auto" w:sz="4" w:space="0"/>
              <w:left w:val="single" w:color="000000" w:sz="8" w:space="0"/>
              <w:bottom w:val="single" w:color="auto" w:sz="4" w:space="0"/>
              <w:right w:val="single" w:color="000000" w:sz="8" w:space="0"/>
            </w:tcBorders>
            <w:shd w:val="clear" w:color="000000" w:fill="FFFFFF"/>
            <w:noWrap w:val="0"/>
            <w:tcMar>
              <w:left w:w="108" w:type="dxa"/>
              <w:right w:w="108" w:type="dxa"/>
            </w:tcMar>
            <w:vAlign w:val="center"/>
          </w:tcPr>
          <w:p w14:paraId="4CC24C3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1215" w:type="dxa"/>
            <w:tcBorders>
              <w:top w:val="single" w:color="auto" w:sz="4" w:space="0"/>
              <w:left w:val="single" w:color="000000" w:sz="8" w:space="0"/>
              <w:bottom w:val="single" w:color="auto" w:sz="4" w:space="0"/>
              <w:right w:val="single" w:color="000000" w:sz="8" w:space="0"/>
            </w:tcBorders>
            <w:shd w:val="clear" w:color="000000" w:fill="FFFFFF"/>
            <w:noWrap w:val="0"/>
            <w:tcMar>
              <w:left w:w="108" w:type="dxa"/>
              <w:right w:w="108" w:type="dxa"/>
            </w:tcMar>
            <w:vAlign w:val="center"/>
          </w:tcPr>
          <w:p w14:paraId="7AA036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保密措施</w:t>
            </w:r>
          </w:p>
        </w:tc>
        <w:tc>
          <w:tcPr>
            <w:tcW w:w="6919" w:type="dxa"/>
            <w:tcBorders>
              <w:top w:val="single" w:color="auto" w:sz="4" w:space="0"/>
              <w:left w:val="single" w:color="000000" w:sz="8" w:space="0"/>
              <w:bottom w:val="single" w:color="auto" w:sz="4" w:space="0"/>
              <w:right w:val="single" w:color="000000" w:sz="8" w:space="0"/>
            </w:tcBorders>
            <w:shd w:val="clear" w:color="000000" w:fill="FFFFFF"/>
            <w:noWrap w:val="0"/>
            <w:tcMar>
              <w:left w:w="108" w:type="dxa"/>
              <w:right w:w="108" w:type="dxa"/>
            </w:tcMar>
            <w:vAlign w:val="top"/>
          </w:tcPr>
          <w:p w14:paraId="6592356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包括但不限于采样检测及结果的保密措施:</w:t>
            </w:r>
          </w:p>
          <w:p w14:paraId="14D0418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sz w:val="24"/>
                <w:szCs w:val="24"/>
                <w:highlight w:val="none"/>
                <w:lang w:val="en-US" w:eastAsia="zh-CN"/>
              </w:rPr>
              <w:t>保密措施具体、详细，可行性高，得5分；</w:t>
            </w:r>
          </w:p>
          <w:p w14:paraId="084D2BB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sz w:val="24"/>
                <w:szCs w:val="24"/>
                <w:highlight w:val="none"/>
                <w:lang w:val="en-US" w:eastAsia="zh-CN"/>
              </w:rPr>
              <w:t>保密措施较具体、详细，可行性较高，得3分；</w:t>
            </w:r>
          </w:p>
          <w:p w14:paraId="7BFF0E2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lang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sz w:val="24"/>
                <w:szCs w:val="24"/>
                <w:highlight w:val="none"/>
                <w:lang w:val="en-US" w:eastAsia="zh-CN"/>
              </w:rPr>
              <w:t>保密措施不具体，可行性低，或未提供得0分。</w:t>
            </w:r>
          </w:p>
        </w:tc>
        <w:tc>
          <w:tcPr>
            <w:tcW w:w="876" w:type="dxa"/>
            <w:tcBorders>
              <w:top w:val="single" w:color="000000" w:sz="8" w:space="0"/>
              <w:left w:val="single" w:color="000000" w:sz="8" w:space="0"/>
              <w:bottom w:val="single" w:color="000000" w:sz="8" w:space="0"/>
              <w:right w:val="single" w:color="000000" w:sz="4" w:space="0"/>
            </w:tcBorders>
            <w:shd w:val="clear" w:color="000000" w:fill="FFFFFF"/>
            <w:noWrap w:val="0"/>
            <w:tcMar>
              <w:left w:w="108" w:type="dxa"/>
              <w:right w:w="108" w:type="dxa"/>
            </w:tcMar>
            <w:vAlign w:val="center"/>
          </w:tcPr>
          <w:p w14:paraId="13CFE83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r>
      <w:tr w14:paraId="107A3FDD">
        <w:tblPrEx>
          <w:tblCellMar>
            <w:top w:w="0" w:type="dxa"/>
            <w:left w:w="10" w:type="dxa"/>
            <w:bottom w:w="0" w:type="dxa"/>
            <w:right w:w="10" w:type="dxa"/>
          </w:tblCellMar>
        </w:tblPrEx>
        <w:trPr>
          <w:trHeight w:val="374" w:hRule="atLeast"/>
          <w:jc w:val="center"/>
        </w:trPr>
        <w:tc>
          <w:tcPr>
            <w:tcW w:w="1046" w:type="dxa"/>
            <w:tcBorders>
              <w:top w:val="single" w:color="auto" w:sz="4"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14:paraId="5A42D5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1.4</w:t>
            </w:r>
          </w:p>
        </w:tc>
        <w:tc>
          <w:tcPr>
            <w:tcW w:w="1215" w:type="dxa"/>
            <w:tcBorders>
              <w:top w:val="single" w:color="auto" w:sz="4"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14:paraId="69A5D9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质量控制措施</w:t>
            </w:r>
          </w:p>
        </w:tc>
        <w:tc>
          <w:tcPr>
            <w:tcW w:w="6919" w:type="dxa"/>
            <w:tcBorders>
              <w:top w:val="single" w:color="auto" w:sz="4" w:space="0"/>
              <w:left w:val="single" w:color="000000" w:sz="8" w:space="0"/>
              <w:bottom w:val="single" w:color="000000" w:sz="8" w:space="0"/>
              <w:right w:val="single" w:color="000000" w:sz="8" w:space="0"/>
            </w:tcBorders>
            <w:shd w:val="clear" w:color="000000" w:fill="FFFFFF"/>
            <w:noWrap w:val="0"/>
            <w:tcMar>
              <w:left w:w="108" w:type="dxa"/>
              <w:right w:w="108" w:type="dxa"/>
            </w:tcMar>
            <w:vAlign w:val="top"/>
          </w:tcPr>
          <w:p w14:paraId="5838B64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针对本项目监测任务，按照相关规范及标准规定：</w:t>
            </w:r>
          </w:p>
          <w:p w14:paraId="635BC20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sz w:val="24"/>
                <w:szCs w:val="24"/>
                <w:highlight w:val="none"/>
                <w:lang w:val="en-US" w:eastAsia="zh-CN"/>
              </w:rPr>
              <w:t>提供完善的质量保证和质量控制工作方案，方案完全满足本项目要求的，得5分；</w:t>
            </w:r>
          </w:p>
          <w:p w14:paraId="66F0B5D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sz w:val="24"/>
                <w:szCs w:val="24"/>
                <w:highlight w:val="none"/>
                <w:lang w:val="en-US" w:eastAsia="zh-CN"/>
              </w:rPr>
              <w:t>针对本项目监测任务，按照相关规范及标准规定，提供较完善的质量保证和质量控制工作方案，方案基本满足本项目要求的，得2分；未提供得0分。</w:t>
            </w:r>
          </w:p>
        </w:tc>
        <w:tc>
          <w:tcPr>
            <w:tcW w:w="876" w:type="dxa"/>
            <w:tcBorders>
              <w:top w:val="single" w:color="000000" w:sz="8" w:space="0"/>
              <w:left w:val="single" w:color="000000" w:sz="8" w:space="0"/>
              <w:bottom w:val="single" w:color="000000" w:sz="8" w:space="0"/>
              <w:right w:val="single" w:color="000000" w:sz="4" w:space="0"/>
            </w:tcBorders>
            <w:shd w:val="clear" w:color="000000" w:fill="FFFFFF"/>
            <w:noWrap w:val="0"/>
            <w:tcMar>
              <w:left w:w="108" w:type="dxa"/>
              <w:right w:w="108" w:type="dxa"/>
            </w:tcMar>
            <w:vAlign w:val="center"/>
          </w:tcPr>
          <w:p w14:paraId="29113E6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5分</w:t>
            </w:r>
          </w:p>
        </w:tc>
      </w:tr>
    </w:tbl>
    <w:p w14:paraId="37B34AB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val="en-US" w:eastAsia="zh-CN"/>
        </w:rPr>
      </w:pPr>
    </w:p>
    <w:tbl>
      <w:tblPr>
        <w:tblStyle w:val="4"/>
        <w:tblW w:w="10089" w:type="dxa"/>
        <w:jc w:val="center"/>
        <w:tblLayout w:type="fixed"/>
        <w:tblCellMar>
          <w:top w:w="0" w:type="dxa"/>
          <w:left w:w="10" w:type="dxa"/>
          <w:bottom w:w="0" w:type="dxa"/>
          <w:right w:w="10" w:type="dxa"/>
        </w:tblCellMar>
      </w:tblPr>
      <w:tblGrid>
        <w:gridCol w:w="1004"/>
        <w:gridCol w:w="1222"/>
        <w:gridCol w:w="6923"/>
        <w:gridCol w:w="940"/>
      </w:tblGrid>
      <w:tr w14:paraId="22EB5804">
        <w:tblPrEx>
          <w:tblCellMar>
            <w:top w:w="0" w:type="dxa"/>
            <w:left w:w="10" w:type="dxa"/>
            <w:bottom w:w="0" w:type="dxa"/>
            <w:right w:w="10" w:type="dxa"/>
          </w:tblCellMar>
        </w:tblPrEx>
        <w:trPr>
          <w:trHeight w:val="5610" w:hRule="atLeast"/>
          <w:jc w:val="center"/>
        </w:trPr>
        <w:tc>
          <w:tcPr>
            <w:tcW w:w="1004" w:type="dxa"/>
            <w:tcBorders>
              <w:top w:val="single" w:color="auto" w:sz="4"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14:paraId="546E907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1222" w:type="dxa"/>
            <w:tcBorders>
              <w:top w:val="single" w:color="auto" w:sz="4"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14:paraId="2B061FA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检测数目</w:t>
            </w:r>
          </w:p>
        </w:tc>
        <w:tc>
          <w:tcPr>
            <w:tcW w:w="6923" w:type="dxa"/>
            <w:tcBorders>
              <w:top w:val="single" w:color="auto" w:sz="4" w:space="0"/>
              <w:left w:val="single" w:color="000000" w:sz="8" w:space="0"/>
              <w:bottom w:val="single" w:color="000000" w:sz="8" w:space="0"/>
              <w:right w:val="single" w:color="000000" w:sz="8" w:space="0"/>
            </w:tcBorders>
            <w:shd w:val="clear" w:color="000000" w:fill="FFFFFF"/>
            <w:noWrap w:val="0"/>
            <w:tcMar>
              <w:left w:w="108" w:type="dxa"/>
              <w:right w:w="108" w:type="dxa"/>
            </w:tcMar>
            <w:vAlign w:val="top"/>
          </w:tcPr>
          <w:p w14:paraId="73BEE2A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根据响应人通过计量认证的</w:t>
            </w:r>
            <w:r>
              <w:rPr>
                <w:rFonts w:hint="eastAsia" w:ascii="宋体" w:hAnsi="宋体" w:eastAsia="宋体" w:cs="宋体"/>
                <w:b/>
                <w:bCs/>
                <w:color w:val="auto"/>
                <w:kern w:val="0"/>
                <w:sz w:val="24"/>
                <w:szCs w:val="24"/>
                <w:highlight w:val="none"/>
              </w:rPr>
              <w:t>环境类</w:t>
            </w:r>
            <w:r>
              <w:rPr>
                <w:rFonts w:hint="eastAsia" w:ascii="宋体" w:hAnsi="宋体" w:eastAsia="宋体" w:cs="宋体"/>
                <w:color w:val="auto"/>
                <w:kern w:val="0"/>
                <w:sz w:val="24"/>
                <w:szCs w:val="24"/>
                <w:highlight w:val="none"/>
              </w:rPr>
              <w:t>检测项目数进行评审。</w:t>
            </w:r>
          </w:p>
          <w:p w14:paraId="44C2B38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sz w:val="24"/>
                <w:szCs w:val="24"/>
                <w:highlight w:val="none"/>
              </w:rPr>
              <w:t>响应人通过计量认证的环境类检测项目数≥</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00项的得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sz w:val="24"/>
                <w:szCs w:val="24"/>
                <w:highlight w:val="none"/>
                <w:lang w:val="en-US" w:eastAsia="zh-CN"/>
              </w:rPr>
              <w:t>1500</w:t>
            </w:r>
            <w:r>
              <w:rPr>
                <w:rFonts w:hint="eastAsia" w:ascii="宋体" w:hAnsi="宋体" w:eastAsia="宋体" w:cs="宋体"/>
                <w:color w:val="auto"/>
                <w:sz w:val="24"/>
                <w:szCs w:val="24"/>
                <w:highlight w:val="none"/>
              </w:rPr>
              <w:t>项≤检测项目数＜</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00项的得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sz w:val="24"/>
                <w:szCs w:val="24"/>
                <w:highlight w:val="none"/>
                <w:lang w:val="en-US" w:eastAsia="zh-CN"/>
              </w:rPr>
              <w:t>500</w:t>
            </w:r>
            <w:r>
              <w:rPr>
                <w:rFonts w:hint="eastAsia" w:ascii="宋体" w:hAnsi="宋体" w:eastAsia="宋体" w:cs="宋体"/>
                <w:color w:val="auto"/>
                <w:sz w:val="24"/>
                <w:szCs w:val="24"/>
                <w:highlight w:val="none"/>
              </w:rPr>
              <w:t>项≤检测项目数＜1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00项的得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sz w:val="24"/>
                <w:szCs w:val="24"/>
                <w:highlight w:val="none"/>
              </w:rPr>
              <w:t>检测项目数＜</w:t>
            </w:r>
            <w:r>
              <w:rPr>
                <w:rFonts w:hint="eastAsia" w:ascii="宋体" w:hAnsi="宋体" w:eastAsia="宋体" w:cs="宋体"/>
                <w:color w:val="auto"/>
                <w:sz w:val="24"/>
                <w:szCs w:val="24"/>
                <w:highlight w:val="none"/>
                <w:lang w:val="en-US" w:eastAsia="zh-CN"/>
              </w:rPr>
              <w:t>500</w:t>
            </w:r>
            <w:r>
              <w:rPr>
                <w:rFonts w:hint="eastAsia" w:ascii="宋体" w:hAnsi="宋体" w:eastAsia="宋体" w:cs="宋体"/>
                <w:color w:val="auto"/>
                <w:sz w:val="24"/>
                <w:szCs w:val="24"/>
                <w:highlight w:val="none"/>
              </w:rPr>
              <w:t>项的不得分。本项最高得分为</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分。按得分较高的评审，不重复计分。</w:t>
            </w:r>
            <w:bookmarkStart w:id="0" w:name="_GoBack"/>
            <w:bookmarkEnd w:id="0"/>
          </w:p>
          <w:p w14:paraId="67A9810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注：需在响应文件中附计量认证证书及附件复印件，含检测内容部分，并将证书检测内容中与本次采购检测内容相同的部分作出明显标记以方便评审。计量认证证书中同一项目，多个方法的，按一个项目评审，不重复计分。上述证明复印件需加盖响应人单位公章，未提供不得分。</w:t>
            </w:r>
          </w:p>
        </w:tc>
        <w:tc>
          <w:tcPr>
            <w:tcW w:w="940" w:type="dxa"/>
            <w:tcBorders>
              <w:top w:val="single" w:color="000000" w:sz="8" w:space="0"/>
              <w:left w:val="single" w:color="000000" w:sz="8" w:space="0"/>
              <w:bottom w:val="single" w:color="000000" w:sz="8" w:space="0"/>
              <w:right w:val="single" w:color="000000" w:sz="4" w:space="0"/>
            </w:tcBorders>
            <w:shd w:val="clear" w:color="000000" w:fill="FFFFFF"/>
            <w:noWrap w:val="0"/>
            <w:tcMar>
              <w:left w:w="108" w:type="dxa"/>
              <w:right w:w="108" w:type="dxa"/>
            </w:tcMar>
            <w:vAlign w:val="center"/>
          </w:tcPr>
          <w:p w14:paraId="4033B8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r>
      <w:tr w14:paraId="5DA86929">
        <w:tblPrEx>
          <w:tblCellMar>
            <w:top w:w="0" w:type="dxa"/>
            <w:left w:w="10" w:type="dxa"/>
            <w:bottom w:w="0" w:type="dxa"/>
            <w:right w:w="10" w:type="dxa"/>
          </w:tblCellMar>
        </w:tblPrEx>
        <w:trPr>
          <w:trHeight w:val="6635" w:hRule="atLeast"/>
          <w:jc w:val="center"/>
        </w:trPr>
        <w:tc>
          <w:tcPr>
            <w:tcW w:w="1004" w:type="dxa"/>
            <w:tcBorders>
              <w:top w:val="single" w:color="auto" w:sz="4"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14:paraId="540D4D0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222" w:type="dxa"/>
            <w:tcBorders>
              <w:top w:val="single" w:color="auto" w:sz="4"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14:paraId="3BE5FBD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检测项目类别</w:t>
            </w:r>
          </w:p>
        </w:tc>
        <w:tc>
          <w:tcPr>
            <w:tcW w:w="6923" w:type="dxa"/>
            <w:tcBorders>
              <w:top w:val="single" w:color="auto" w:sz="4" w:space="0"/>
              <w:left w:val="single" w:color="000000" w:sz="8" w:space="0"/>
              <w:bottom w:val="single" w:color="000000" w:sz="8" w:space="0"/>
              <w:right w:val="single" w:color="000000" w:sz="8" w:space="0"/>
            </w:tcBorders>
            <w:shd w:val="clear" w:color="000000" w:fill="FFFFFF"/>
            <w:noWrap w:val="0"/>
            <w:tcMar>
              <w:left w:w="108" w:type="dxa"/>
              <w:right w:w="108" w:type="dxa"/>
            </w:tcMar>
            <w:vAlign w:val="top"/>
          </w:tcPr>
          <w:p w14:paraId="45FC097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根据响应人通过计量认证的环境类</w:t>
            </w:r>
            <w:r>
              <w:rPr>
                <w:rFonts w:hint="eastAsia" w:ascii="宋体" w:hAnsi="宋体" w:eastAsia="宋体" w:cs="宋体"/>
                <w:color w:val="auto"/>
                <w:sz w:val="24"/>
                <w:szCs w:val="24"/>
                <w:highlight w:val="none"/>
              </w:rPr>
              <w:t>检测项目类别</w:t>
            </w:r>
            <w:r>
              <w:rPr>
                <w:rFonts w:hint="eastAsia" w:ascii="宋体" w:hAnsi="宋体" w:eastAsia="宋体" w:cs="宋体"/>
                <w:color w:val="auto"/>
                <w:kern w:val="0"/>
                <w:sz w:val="24"/>
                <w:szCs w:val="24"/>
                <w:highlight w:val="none"/>
              </w:rPr>
              <w:t>进行评审。</w:t>
            </w:r>
          </w:p>
          <w:p w14:paraId="58640EB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检测项目类别：1）水和废水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2）空气和废气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3）重点行业有机废气和臭气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4）油气回收监测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5）锅炉废气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6）土壤和沉积物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7）饮食油烟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8）噪声和振动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9）固体废物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辐射</w:t>
            </w:r>
            <w:r>
              <w:rPr>
                <w:rFonts w:hint="eastAsia" w:ascii="宋体" w:hAnsi="宋体" w:eastAsia="宋体" w:cs="宋体"/>
                <w:color w:val="auto"/>
                <w:sz w:val="24"/>
                <w:szCs w:val="24"/>
                <w:highlight w:val="none"/>
              </w:rPr>
              <w:t>监测。</w:t>
            </w:r>
          </w:p>
          <w:p w14:paraId="1AF628F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每个检测类别得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分，其他或没有的不得分。本项最高得分为</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1C2452D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注：需在响应文件中附计量认证证书及附件复印件，含检测内容部分，并将证书检测内容中与本次采购检测内容相同的部分作出明显标记以方便评审。计量认证证书中同一类别的，按一个类别评审，不重复计分。上述证明复印件需加盖响应人单位公章，未提供不得分。</w:t>
            </w:r>
          </w:p>
        </w:tc>
        <w:tc>
          <w:tcPr>
            <w:tcW w:w="940" w:type="dxa"/>
            <w:tcBorders>
              <w:top w:val="single" w:color="000000" w:sz="8" w:space="0"/>
              <w:left w:val="single" w:color="000000" w:sz="8" w:space="0"/>
              <w:bottom w:val="single" w:color="000000" w:sz="8" w:space="0"/>
              <w:right w:val="single" w:color="000000" w:sz="4" w:space="0"/>
            </w:tcBorders>
            <w:shd w:val="clear" w:color="000000" w:fill="FFFFFF"/>
            <w:noWrap w:val="0"/>
            <w:tcMar>
              <w:left w:w="108" w:type="dxa"/>
              <w:right w:w="108" w:type="dxa"/>
            </w:tcMar>
            <w:vAlign w:val="center"/>
          </w:tcPr>
          <w:p w14:paraId="6D87EE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1B61B8F5">
        <w:tblPrEx>
          <w:tblCellMar>
            <w:top w:w="0" w:type="dxa"/>
            <w:left w:w="10" w:type="dxa"/>
            <w:bottom w:w="0" w:type="dxa"/>
            <w:right w:w="10" w:type="dxa"/>
          </w:tblCellMar>
        </w:tblPrEx>
        <w:trPr>
          <w:trHeight w:val="7070" w:hRule="atLeast"/>
          <w:jc w:val="center"/>
        </w:trPr>
        <w:tc>
          <w:tcPr>
            <w:tcW w:w="1004" w:type="dxa"/>
            <w:tcBorders>
              <w:top w:val="single" w:color="auto" w:sz="4"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14:paraId="3F89D7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1222" w:type="dxa"/>
            <w:tcBorders>
              <w:top w:val="single" w:color="auto" w:sz="4"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14:paraId="4B52313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分析设备</w:t>
            </w:r>
          </w:p>
        </w:tc>
        <w:tc>
          <w:tcPr>
            <w:tcW w:w="6923" w:type="dxa"/>
            <w:tcBorders>
              <w:top w:val="single" w:color="auto" w:sz="4" w:space="0"/>
              <w:left w:val="single" w:color="000000" w:sz="8" w:space="0"/>
              <w:bottom w:val="single" w:color="000000" w:sz="8" w:space="0"/>
              <w:right w:val="single" w:color="000000" w:sz="8" w:space="0"/>
            </w:tcBorders>
            <w:shd w:val="clear" w:color="000000" w:fill="FFFFFF"/>
            <w:noWrap w:val="0"/>
            <w:tcMar>
              <w:left w:w="108" w:type="dxa"/>
              <w:right w:w="108" w:type="dxa"/>
            </w:tcMar>
            <w:vAlign w:val="top"/>
          </w:tcPr>
          <w:p w14:paraId="193DA5B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根据响应人拟投入的分析设备进行评审。</w:t>
            </w:r>
          </w:p>
          <w:p w14:paraId="021A211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1）气相色谱仪、2）原子吸收分光光度计、3）原子荧光分光</w:t>
            </w:r>
          </w:p>
          <w:p w14:paraId="40F5F56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光度计、4）自动热脱附仪、5）气相色谱-质谱仪、6）大气预浓缩系统及苏马罐、7）液相色谱仪、8）电感耦合等离子体发射光谱仪、9）电感耦合等离子体-质谱仪、1</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lang w:eastAsia="zh-CN"/>
              </w:rPr>
              <w:t>）紫外-可见分光光度计</w:t>
            </w:r>
            <w:r>
              <w:rPr>
                <w:rFonts w:hint="eastAsia" w:ascii="宋体" w:hAnsi="宋体" w:eastAsia="宋体" w:cs="宋体"/>
                <w:color w:val="auto"/>
                <w:kern w:val="0"/>
                <w:sz w:val="24"/>
                <w:szCs w:val="24"/>
                <w:highlight w:val="none"/>
                <w:lang w:val="en-US" w:eastAsia="zh-CN"/>
              </w:rPr>
              <w:t>。</w:t>
            </w:r>
          </w:p>
          <w:p w14:paraId="022C675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以上每提供一类设备得</w:t>
            </w:r>
            <w:r>
              <w:rPr>
                <w:rFonts w:hint="eastAsia" w:ascii="宋体" w:hAnsi="宋体" w:eastAsia="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lang w:eastAsia="zh-CN"/>
              </w:rPr>
              <w:t>分(投标文件中须附仪器设备一览表，并列出设备名称、型号，数量、质量、国产进口情况，并以仪器设备购买发票复印件为证明。仪器设备一览表名称与招标文件要求的仪器名称与仪器设备购买发票复印件的名称应三者一致，不一致的设备不计分)。</w:t>
            </w:r>
            <w:r>
              <w:rPr>
                <w:rFonts w:hint="eastAsia" w:ascii="宋体" w:hAnsi="宋体" w:eastAsia="宋体" w:cs="宋体"/>
                <w:color w:val="auto"/>
                <w:kern w:val="0"/>
                <w:sz w:val="24"/>
                <w:szCs w:val="24"/>
                <w:highlight w:val="none"/>
              </w:rPr>
              <w:t>注：需在响应文件投入仪器设备一览表中列出仪器设备名称、型号、数量情况，并提供</w:t>
            </w:r>
            <w:r>
              <w:rPr>
                <w:rFonts w:hint="eastAsia" w:ascii="宋体" w:hAnsi="宋体" w:eastAsia="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人购买仪器设备购买合同(或购买发票）或租赁合同复印件为证明。上述证明复印件需加盖响应人单位公章，未提供不得分。</w:t>
            </w:r>
            <w:r>
              <w:rPr>
                <w:rFonts w:hint="eastAsia" w:ascii="宋体" w:hAnsi="宋体" w:eastAsia="宋体" w:cs="宋体"/>
                <w:color w:val="auto"/>
                <w:kern w:val="0"/>
                <w:sz w:val="24"/>
                <w:szCs w:val="24"/>
                <w:highlight w:val="none"/>
                <w:lang w:eastAsia="zh-CN"/>
              </w:rPr>
              <w:t>本项最高得分为</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分。</w:t>
            </w:r>
          </w:p>
        </w:tc>
        <w:tc>
          <w:tcPr>
            <w:tcW w:w="940" w:type="dxa"/>
            <w:tcBorders>
              <w:top w:val="single" w:color="000000" w:sz="8" w:space="0"/>
              <w:left w:val="single" w:color="000000" w:sz="8" w:space="0"/>
              <w:bottom w:val="single" w:color="000000" w:sz="8" w:space="0"/>
              <w:right w:val="single" w:color="000000" w:sz="4" w:space="0"/>
            </w:tcBorders>
            <w:shd w:val="clear" w:color="000000" w:fill="FFFFFF"/>
            <w:noWrap w:val="0"/>
            <w:tcMar>
              <w:left w:w="108" w:type="dxa"/>
              <w:right w:w="108" w:type="dxa"/>
            </w:tcMar>
            <w:vAlign w:val="center"/>
          </w:tcPr>
          <w:p w14:paraId="26FB77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39C2D6E2">
        <w:tblPrEx>
          <w:tblCellMar>
            <w:top w:w="0" w:type="dxa"/>
            <w:left w:w="10" w:type="dxa"/>
            <w:bottom w:w="0" w:type="dxa"/>
            <w:right w:w="10" w:type="dxa"/>
          </w:tblCellMar>
        </w:tblPrEx>
        <w:trPr>
          <w:trHeight w:val="440" w:hRule="atLeast"/>
          <w:jc w:val="center"/>
        </w:trPr>
        <w:tc>
          <w:tcPr>
            <w:tcW w:w="1004" w:type="dxa"/>
            <w:tcBorders>
              <w:top w:val="single" w:color="000000" w:sz="4"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14:paraId="01CC747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085" w:type="dxa"/>
            <w:gridSpan w:val="3"/>
            <w:tcBorders>
              <w:top w:val="single" w:color="000000" w:sz="8" w:space="0"/>
              <w:left w:val="single" w:color="000000" w:sz="8" w:space="0"/>
              <w:bottom w:val="single" w:color="000000" w:sz="8" w:space="0"/>
              <w:right w:val="single" w:color="auto" w:sz="4" w:space="0"/>
            </w:tcBorders>
            <w:shd w:val="clear" w:color="000000" w:fill="FFFFFF"/>
            <w:noWrap w:val="0"/>
            <w:tcMar>
              <w:left w:w="108" w:type="dxa"/>
              <w:right w:w="108" w:type="dxa"/>
            </w:tcMar>
            <w:vAlign w:val="center"/>
          </w:tcPr>
          <w:p w14:paraId="7C33D0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商务评分（</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r>
      <w:tr w14:paraId="2B5B9D6E">
        <w:tblPrEx>
          <w:tblCellMar>
            <w:top w:w="0" w:type="dxa"/>
            <w:left w:w="10" w:type="dxa"/>
            <w:bottom w:w="0" w:type="dxa"/>
            <w:right w:w="10" w:type="dxa"/>
          </w:tblCellMar>
        </w:tblPrEx>
        <w:trPr>
          <w:trHeight w:val="1916" w:hRule="atLeast"/>
          <w:jc w:val="center"/>
        </w:trPr>
        <w:tc>
          <w:tcPr>
            <w:tcW w:w="1004" w:type="dxa"/>
            <w:tcBorders>
              <w:top w:val="single" w:color="000000" w:sz="8" w:space="0"/>
              <w:left w:val="single" w:color="000000" w:sz="8" w:space="0"/>
              <w:bottom w:val="single" w:color="000000" w:sz="4" w:space="0"/>
              <w:right w:val="single" w:color="000000" w:sz="8" w:space="0"/>
            </w:tcBorders>
            <w:shd w:val="clear" w:color="000000" w:fill="FFFFFF"/>
            <w:noWrap w:val="0"/>
            <w:tcMar>
              <w:left w:w="108" w:type="dxa"/>
              <w:right w:w="108" w:type="dxa"/>
            </w:tcMar>
            <w:vAlign w:val="center"/>
          </w:tcPr>
          <w:p w14:paraId="5D46AC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1222"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14:paraId="4A31392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项目业绩</w:t>
            </w:r>
          </w:p>
        </w:tc>
        <w:tc>
          <w:tcPr>
            <w:tcW w:w="6923"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14:paraId="328F399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w:t>
            </w:r>
            <w:r>
              <w:rPr>
                <w:rFonts w:hint="eastAsia" w:ascii="宋体" w:hAnsi="宋体" w:eastAsia="宋体" w:cs="宋体"/>
                <w:color w:val="auto"/>
                <w:sz w:val="24"/>
                <w:szCs w:val="24"/>
                <w:highlight w:val="none"/>
                <w:lang w:val="en-US" w:eastAsia="zh-CN"/>
              </w:rPr>
              <w:t>2023</w:t>
            </w:r>
            <w:r>
              <w:rPr>
                <w:rFonts w:hint="eastAsia" w:ascii="宋体" w:hAnsi="宋体" w:eastAsia="宋体" w:cs="宋体"/>
                <w:color w:val="auto"/>
                <w:sz w:val="24"/>
                <w:szCs w:val="24"/>
                <w:highlight w:val="none"/>
              </w:rPr>
              <w:t>年1月1日至今（以合同签订时间为准）具有同类项目的，每提供一份有效合同得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分；没有的不得分。本项目最高得分为</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24E2ED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注：需提供合同关键页（含签订合同双方的单位名称、合同项目名称与含签订合同双方的落款盖章、签订日期的关键页）复印件，并加盖响应人单位公章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未提供不得分。</w:t>
            </w:r>
          </w:p>
        </w:tc>
        <w:tc>
          <w:tcPr>
            <w:tcW w:w="940" w:type="dxa"/>
            <w:tcBorders>
              <w:top w:val="single" w:color="000000" w:sz="8" w:space="0"/>
              <w:left w:val="single" w:color="000000" w:sz="8" w:space="0"/>
              <w:bottom w:val="single" w:color="000000" w:sz="8" w:space="0"/>
              <w:right w:val="single" w:color="000000" w:sz="4" w:space="0"/>
            </w:tcBorders>
            <w:shd w:val="clear" w:color="000000" w:fill="FFFFFF"/>
            <w:noWrap w:val="0"/>
            <w:tcMar>
              <w:left w:w="108" w:type="dxa"/>
              <w:right w:w="108" w:type="dxa"/>
            </w:tcMar>
            <w:vAlign w:val="center"/>
          </w:tcPr>
          <w:p w14:paraId="059332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r>
      <w:tr w14:paraId="4A86F91C">
        <w:tblPrEx>
          <w:tblCellMar>
            <w:top w:w="0" w:type="dxa"/>
            <w:left w:w="10" w:type="dxa"/>
            <w:bottom w:w="0" w:type="dxa"/>
            <w:right w:w="10" w:type="dxa"/>
          </w:tblCellMar>
        </w:tblPrEx>
        <w:trPr>
          <w:trHeight w:val="516" w:hRule="atLeast"/>
          <w:jc w:val="center"/>
        </w:trPr>
        <w:tc>
          <w:tcPr>
            <w:tcW w:w="1004" w:type="dxa"/>
            <w:tcBorders>
              <w:top w:val="single" w:color="000000" w:sz="8" w:space="0"/>
              <w:left w:val="single" w:color="000000" w:sz="8" w:space="0"/>
              <w:right w:val="single" w:color="000000" w:sz="8" w:space="0"/>
            </w:tcBorders>
            <w:shd w:val="clear" w:color="000000" w:fill="FFFFFF"/>
            <w:noWrap w:val="0"/>
            <w:tcMar>
              <w:left w:w="108" w:type="dxa"/>
              <w:right w:w="108" w:type="dxa"/>
            </w:tcMar>
            <w:vAlign w:val="center"/>
          </w:tcPr>
          <w:p w14:paraId="454EA8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222" w:type="dxa"/>
            <w:tcBorders>
              <w:top w:val="single" w:color="000000" w:sz="8" w:space="0"/>
              <w:left w:val="single" w:color="000000" w:sz="8" w:space="0"/>
              <w:right w:val="single" w:color="000000" w:sz="8" w:space="0"/>
            </w:tcBorders>
            <w:shd w:val="clear" w:color="000000" w:fill="FFFFFF"/>
            <w:noWrap w:val="0"/>
            <w:tcMar>
              <w:left w:w="108" w:type="dxa"/>
              <w:right w:w="108" w:type="dxa"/>
            </w:tcMar>
            <w:vAlign w:val="center"/>
          </w:tcPr>
          <w:p w14:paraId="39E18891">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cs="宋体"/>
                <w:color w:val="auto"/>
                <w:sz w:val="24"/>
                <w:szCs w:val="24"/>
                <w:highlight w:val="none"/>
              </w:rPr>
            </w:pPr>
            <w:r>
              <w:rPr>
                <w:rFonts w:hint="eastAsia" w:hAnsi="宋体" w:cs="宋体"/>
                <w:color w:val="auto"/>
                <w:sz w:val="24"/>
                <w:szCs w:val="24"/>
                <w:highlight w:val="none"/>
              </w:rPr>
              <w:t>管理体系认证情况</w:t>
            </w:r>
          </w:p>
        </w:tc>
        <w:tc>
          <w:tcPr>
            <w:tcW w:w="6923"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top"/>
          </w:tcPr>
          <w:p w14:paraId="272524A4">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cs="宋体"/>
                <w:color w:val="auto"/>
                <w:sz w:val="24"/>
                <w:szCs w:val="24"/>
                <w:highlight w:val="none"/>
              </w:rPr>
            </w:pPr>
            <w:r>
              <w:rPr>
                <w:rFonts w:hint="eastAsia" w:hAnsi="宋体" w:cs="宋体"/>
                <w:color w:val="auto"/>
                <w:sz w:val="24"/>
                <w:szCs w:val="24"/>
                <w:highlight w:val="none"/>
              </w:rPr>
              <w:t>根据响应人的管理体系认证情况进行评审。</w:t>
            </w:r>
          </w:p>
          <w:p w14:paraId="0E14831A">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cs="宋体"/>
                <w:color w:val="auto"/>
                <w:sz w:val="24"/>
                <w:szCs w:val="24"/>
                <w:highlight w:val="none"/>
              </w:rPr>
            </w:pPr>
            <w:r>
              <w:rPr>
                <w:rFonts w:hint="eastAsia" w:hAnsi="宋体" w:cs="宋体"/>
                <w:color w:val="auto"/>
                <w:sz w:val="24"/>
                <w:szCs w:val="24"/>
                <w:highlight w:val="none"/>
              </w:rPr>
              <w:t>响应人具有质量管理体系认证证书、环境管理体系认证证书和职业健康安全管理体系认证书的，每个证书得1分；其他或没有的不得分。本项最高得分为</w:t>
            </w:r>
            <w:r>
              <w:rPr>
                <w:rFonts w:hint="eastAsia" w:hAnsi="宋体" w:cs="宋体"/>
                <w:color w:val="auto"/>
                <w:sz w:val="24"/>
                <w:szCs w:val="24"/>
                <w:highlight w:val="none"/>
                <w:lang w:val="en-US" w:eastAsia="zh-CN"/>
              </w:rPr>
              <w:t>5</w:t>
            </w:r>
            <w:r>
              <w:rPr>
                <w:rFonts w:hint="eastAsia" w:hAnsi="宋体" w:cs="宋体"/>
                <w:color w:val="auto"/>
                <w:sz w:val="24"/>
                <w:szCs w:val="24"/>
                <w:highlight w:val="none"/>
              </w:rPr>
              <w:t>分。</w:t>
            </w:r>
          </w:p>
          <w:p w14:paraId="651E944F">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cs="宋体"/>
                <w:color w:val="auto"/>
                <w:sz w:val="24"/>
                <w:szCs w:val="24"/>
                <w:highlight w:val="none"/>
              </w:rPr>
            </w:pPr>
            <w:r>
              <w:rPr>
                <w:rFonts w:hint="eastAsia" w:hAnsi="宋体" w:cs="宋体"/>
                <w:color w:val="auto"/>
                <w:sz w:val="24"/>
                <w:szCs w:val="24"/>
                <w:highlight w:val="none"/>
              </w:rPr>
              <w:t>注：需在响应文件中提供有效的相应认证证书复印件，并加盖响应人单位公章，未提供不得分。</w:t>
            </w:r>
          </w:p>
        </w:tc>
        <w:tc>
          <w:tcPr>
            <w:tcW w:w="940" w:type="dxa"/>
            <w:tcBorders>
              <w:top w:val="single" w:color="000000" w:sz="8" w:space="0"/>
              <w:left w:val="single" w:color="000000" w:sz="8" w:space="0"/>
              <w:bottom w:val="single" w:color="000000" w:sz="8" w:space="0"/>
              <w:right w:val="single" w:color="000000" w:sz="4" w:space="0"/>
            </w:tcBorders>
            <w:shd w:val="clear" w:color="000000" w:fill="FFFFFF"/>
            <w:noWrap w:val="0"/>
            <w:tcMar>
              <w:left w:w="108" w:type="dxa"/>
              <w:right w:w="108" w:type="dxa"/>
            </w:tcMar>
            <w:vAlign w:val="center"/>
          </w:tcPr>
          <w:p w14:paraId="25D404F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70611F3D">
        <w:tblPrEx>
          <w:tblCellMar>
            <w:top w:w="0" w:type="dxa"/>
            <w:left w:w="10" w:type="dxa"/>
            <w:bottom w:w="0" w:type="dxa"/>
            <w:right w:w="10" w:type="dxa"/>
          </w:tblCellMar>
        </w:tblPrEx>
        <w:trPr>
          <w:trHeight w:val="561" w:hRule="atLeast"/>
          <w:jc w:val="center"/>
        </w:trPr>
        <w:tc>
          <w:tcPr>
            <w:tcW w:w="1004" w:type="dxa"/>
            <w:tcBorders>
              <w:top w:val="single" w:color="000000" w:sz="8" w:space="0"/>
              <w:left w:val="single" w:color="000000" w:sz="8" w:space="0"/>
              <w:right w:val="single" w:color="000000" w:sz="8" w:space="0"/>
            </w:tcBorders>
            <w:shd w:val="clear" w:color="000000" w:fill="FFFFFF"/>
            <w:noWrap w:val="0"/>
            <w:tcMar>
              <w:left w:w="108" w:type="dxa"/>
              <w:right w:w="108" w:type="dxa"/>
            </w:tcMar>
            <w:vAlign w:val="center"/>
          </w:tcPr>
          <w:p w14:paraId="0B7C0B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1222" w:type="dxa"/>
            <w:tcBorders>
              <w:top w:val="single" w:color="000000" w:sz="8" w:space="0"/>
              <w:left w:val="single" w:color="000000" w:sz="8" w:space="0"/>
              <w:right w:val="single" w:color="000000" w:sz="8" w:space="0"/>
            </w:tcBorders>
            <w:shd w:val="clear" w:color="000000" w:fill="FFFFFF"/>
            <w:noWrap w:val="0"/>
            <w:tcMar>
              <w:left w:w="108" w:type="dxa"/>
              <w:right w:w="108" w:type="dxa"/>
            </w:tcMar>
            <w:vAlign w:val="center"/>
          </w:tcPr>
          <w:p w14:paraId="082458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服务便利性</w:t>
            </w:r>
          </w:p>
        </w:tc>
        <w:tc>
          <w:tcPr>
            <w:tcW w:w="6923"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top"/>
          </w:tcPr>
          <w:p w14:paraId="0E4CE0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根据响应人提供的检测服务便利性，如有紧急事件发生，如企业违法排污、环境污染事件等，需及时到场开展监测的响应情况进行评审。</w:t>
            </w:r>
          </w:p>
          <w:p w14:paraId="67BDEF7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（1）响应人在1小时内（含1小时）响应到达采购人所在地址的，得</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p>
          <w:p w14:paraId="458A4F1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（2）响应人在1（不含1小时）-2小时（含2小时）内响应到达采购人所在地址的，得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p>
          <w:p w14:paraId="64EC5FC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（3）响应人在2（不含2小时）-3小时（含3小时）内响应到达采购人所在地址的，得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p w14:paraId="619CF57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（4）响应人超过3小时响应到达的，得0分。</w:t>
            </w:r>
          </w:p>
          <w:p w14:paraId="3164E06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本项最高得分为</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按得分较高的评审，不重复计分。</w:t>
            </w:r>
          </w:p>
          <w:p w14:paraId="1A19A90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注：需在响应文件中提供关于服务便利性的承诺函（</w:t>
            </w:r>
            <w:r>
              <w:rPr>
                <w:rFonts w:hint="eastAsia" w:ascii="宋体" w:hAnsi="宋体" w:eastAsia="宋体" w:cs="宋体"/>
                <w:color w:val="auto"/>
                <w:kern w:val="0"/>
                <w:sz w:val="24"/>
                <w:szCs w:val="24"/>
                <w:highlight w:val="none"/>
                <w:lang w:val="en-US" w:eastAsia="zh-CN"/>
              </w:rPr>
              <w:t>以导航软件截图为准</w:t>
            </w:r>
            <w:r>
              <w:rPr>
                <w:rFonts w:hint="eastAsia" w:ascii="宋体" w:hAnsi="宋体" w:eastAsia="宋体" w:cs="宋体"/>
                <w:color w:val="auto"/>
                <w:kern w:val="0"/>
                <w:sz w:val="24"/>
                <w:szCs w:val="24"/>
                <w:highlight w:val="none"/>
              </w:rPr>
              <w:t>），并加盖响应人单位公章，未提供不得分。</w:t>
            </w:r>
          </w:p>
        </w:tc>
        <w:tc>
          <w:tcPr>
            <w:tcW w:w="940" w:type="dxa"/>
            <w:tcBorders>
              <w:top w:val="single" w:color="000000" w:sz="8" w:space="0"/>
              <w:left w:val="single" w:color="000000" w:sz="8" w:space="0"/>
              <w:bottom w:val="single" w:color="000000" w:sz="8" w:space="0"/>
              <w:right w:val="single" w:color="000000" w:sz="4" w:space="0"/>
            </w:tcBorders>
            <w:shd w:val="clear" w:color="000000" w:fill="FFFFFF"/>
            <w:noWrap w:val="0"/>
            <w:tcMar>
              <w:left w:w="108" w:type="dxa"/>
              <w:right w:w="108" w:type="dxa"/>
            </w:tcMar>
            <w:vAlign w:val="center"/>
          </w:tcPr>
          <w:p w14:paraId="101C956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4D64727C">
        <w:tblPrEx>
          <w:tblCellMar>
            <w:top w:w="0" w:type="dxa"/>
            <w:left w:w="10" w:type="dxa"/>
            <w:bottom w:w="0" w:type="dxa"/>
            <w:right w:w="10" w:type="dxa"/>
          </w:tblCellMar>
        </w:tblPrEx>
        <w:trPr>
          <w:trHeight w:val="2526" w:hRule="atLeast"/>
          <w:jc w:val="center"/>
        </w:trPr>
        <w:tc>
          <w:tcPr>
            <w:tcW w:w="1004" w:type="dxa"/>
            <w:tcBorders>
              <w:top w:val="single" w:color="000000" w:sz="8" w:space="0"/>
              <w:left w:val="single" w:color="000000" w:sz="8" w:space="0"/>
              <w:bottom w:val="single" w:color="000000" w:sz="4" w:space="0"/>
              <w:right w:val="single" w:color="000000" w:sz="8" w:space="0"/>
            </w:tcBorders>
            <w:shd w:val="clear" w:color="000000" w:fill="FFFFFF"/>
            <w:noWrap w:val="0"/>
            <w:tcMar>
              <w:left w:w="108" w:type="dxa"/>
              <w:right w:w="108" w:type="dxa"/>
            </w:tcMar>
            <w:vAlign w:val="center"/>
          </w:tcPr>
          <w:p w14:paraId="5116C0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1222"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14:paraId="02B8974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olor w:val="auto"/>
                <w:sz w:val="24"/>
                <w:szCs w:val="24"/>
                <w:highlight w:val="none"/>
              </w:rPr>
              <w:t>项目技术团队</w:t>
            </w:r>
          </w:p>
        </w:tc>
        <w:tc>
          <w:tcPr>
            <w:tcW w:w="6923" w:type="dxa"/>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top"/>
          </w:tcPr>
          <w:p w14:paraId="2ECF482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根据</w:t>
            </w:r>
            <w:r>
              <w:rPr>
                <w:rFonts w:hint="eastAsia" w:ascii="宋体" w:hAnsi="宋体" w:eastAsia="宋体"/>
                <w:color w:val="auto"/>
                <w:sz w:val="24"/>
                <w:szCs w:val="24"/>
                <w:highlight w:val="none"/>
                <w:lang w:eastAsia="zh-CN"/>
              </w:rPr>
              <w:t>响应</w:t>
            </w:r>
            <w:r>
              <w:rPr>
                <w:rFonts w:hint="eastAsia" w:ascii="宋体" w:hAnsi="宋体" w:eastAsia="宋体"/>
                <w:color w:val="auto"/>
                <w:sz w:val="24"/>
                <w:szCs w:val="24"/>
                <w:highlight w:val="none"/>
              </w:rPr>
              <w:t>人投入的项目技术团队进行评审。</w:t>
            </w:r>
          </w:p>
          <w:p w14:paraId="0F84AC3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（1）项目负责人（仅限1人）：具有环境</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高级（或以上）职称的，得3分；具有环境</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中级职称的，得1分。最高得3分。按得分较高的评审，不重复计分。</w:t>
            </w:r>
          </w:p>
          <w:p w14:paraId="7427D4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（2）项目主要技术人员（项目负责人除外）：具有环境</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高级（或以上）职称的，每人得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分；具有环境</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中级职称的，每人得1分。最高得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若同一人具有多个职称的，按得分较高的评审，不重复计分。</w:t>
            </w:r>
          </w:p>
          <w:p w14:paraId="540C40E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（3）其他或没有的不得分。本项最高得分为</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7FABE6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kern w:val="0"/>
                <w:sz w:val="24"/>
                <w:szCs w:val="24"/>
                <w:highlight w:val="none"/>
              </w:rPr>
              <w:t>需在响应文件中</w:t>
            </w:r>
            <w:r>
              <w:rPr>
                <w:rFonts w:hint="eastAsia" w:ascii="宋体" w:hAnsi="宋体" w:eastAsia="宋体" w:cs="宋体"/>
                <w:color w:val="auto"/>
                <w:sz w:val="24"/>
                <w:szCs w:val="24"/>
                <w:highlight w:val="none"/>
              </w:rPr>
              <w:t>提供上述人员相应职称证书、供应商为其缴纳的202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年1月至今任意1个月的社保证明复印件（包括投保单或社会保险参保人员缴费证明或单位代缴个人所得税税单复印件等，如依法免交社保须提供相关证明材料复印件），并加盖响应人单位公章，未提供不得分。</w:t>
            </w:r>
          </w:p>
        </w:tc>
        <w:tc>
          <w:tcPr>
            <w:tcW w:w="940" w:type="dxa"/>
            <w:tcBorders>
              <w:top w:val="single" w:color="000000" w:sz="8" w:space="0"/>
              <w:left w:val="single" w:color="000000" w:sz="8" w:space="0"/>
              <w:bottom w:val="single" w:color="000000" w:sz="8" w:space="0"/>
              <w:right w:val="single" w:color="000000" w:sz="4" w:space="0"/>
            </w:tcBorders>
            <w:shd w:val="clear" w:color="000000" w:fill="FFFFFF"/>
            <w:noWrap w:val="0"/>
            <w:tcMar>
              <w:left w:w="108" w:type="dxa"/>
              <w:right w:w="108" w:type="dxa"/>
            </w:tcMar>
            <w:vAlign w:val="center"/>
          </w:tcPr>
          <w:p w14:paraId="545EBF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r>
      <w:tr w14:paraId="1F4CBABC">
        <w:tblPrEx>
          <w:tblCellMar>
            <w:top w:w="0" w:type="dxa"/>
            <w:left w:w="10" w:type="dxa"/>
            <w:bottom w:w="0" w:type="dxa"/>
            <w:right w:w="10" w:type="dxa"/>
          </w:tblCellMar>
        </w:tblPrEx>
        <w:trPr>
          <w:trHeight w:val="521" w:hRule="atLeast"/>
          <w:jc w:val="center"/>
        </w:trPr>
        <w:tc>
          <w:tcPr>
            <w:tcW w:w="1004" w:type="dxa"/>
            <w:tcBorders>
              <w:top w:val="single" w:color="000000" w:sz="4"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14:paraId="245EA9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9085" w:type="dxa"/>
            <w:gridSpan w:val="3"/>
            <w:tcBorders>
              <w:top w:val="single" w:color="000000" w:sz="8" w:space="0"/>
              <w:left w:val="single" w:color="000000" w:sz="8" w:space="0"/>
              <w:bottom w:val="single" w:color="000000" w:sz="8" w:space="0"/>
              <w:right w:val="single" w:color="auto" w:sz="4" w:space="0"/>
            </w:tcBorders>
            <w:shd w:val="clear" w:color="000000" w:fill="FFFFFF"/>
            <w:noWrap w:val="0"/>
            <w:tcMar>
              <w:left w:w="108" w:type="dxa"/>
              <w:right w:w="108" w:type="dxa"/>
            </w:tcMar>
            <w:vAlign w:val="center"/>
          </w:tcPr>
          <w:p w14:paraId="2D841C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价格评分(</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0分)</w:t>
            </w:r>
          </w:p>
        </w:tc>
      </w:tr>
      <w:tr w14:paraId="0947A873">
        <w:tblPrEx>
          <w:tblCellMar>
            <w:top w:w="0" w:type="dxa"/>
            <w:left w:w="10" w:type="dxa"/>
            <w:bottom w:w="0" w:type="dxa"/>
            <w:right w:w="10" w:type="dxa"/>
          </w:tblCellMar>
        </w:tblPrEx>
        <w:trPr>
          <w:trHeight w:val="1012" w:hRule="atLeast"/>
          <w:jc w:val="center"/>
        </w:trPr>
        <w:tc>
          <w:tcPr>
            <w:tcW w:w="1004" w:type="dxa"/>
            <w:tcBorders>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14:paraId="0DBA38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p>
        </w:tc>
        <w:tc>
          <w:tcPr>
            <w:tcW w:w="1222" w:type="dxa"/>
            <w:tcBorders>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14:paraId="331AB4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w:t>
            </w:r>
          </w:p>
        </w:tc>
        <w:tc>
          <w:tcPr>
            <w:tcW w:w="6923" w:type="dxa"/>
            <w:tcBorders>
              <w:top w:val="single" w:color="auto" w:sz="4"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14:paraId="6869D6FE">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color w:val="auto"/>
                <w:sz w:val="24"/>
                <w:szCs w:val="24"/>
                <w:highlight w:val="none"/>
              </w:rPr>
            </w:pPr>
            <w:r>
              <w:rPr>
                <w:rFonts w:hint="eastAsia" w:hAnsi="宋体"/>
                <w:color w:val="auto"/>
                <w:sz w:val="24"/>
                <w:szCs w:val="24"/>
                <w:highlight w:val="none"/>
              </w:rPr>
              <w:t>最低折扣率作为磋商基准折扣率，定磋商基准折扣率的价格评分为</w:t>
            </w:r>
            <w:r>
              <w:rPr>
                <w:rFonts w:hint="eastAsia" w:hAnsi="宋体"/>
                <w:color w:val="auto"/>
                <w:sz w:val="24"/>
                <w:szCs w:val="24"/>
                <w:highlight w:val="none"/>
                <w:lang w:val="en-US" w:eastAsia="zh-CN"/>
              </w:rPr>
              <w:t>20</w:t>
            </w:r>
            <w:r>
              <w:rPr>
                <w:rFonts w:hint="eastAsia" w:hAnsi="宋体"/>
                <w:color w:val="auto"/>
                <w:sz w:val="24"/>
                <w:szCs w:val="24"/>
                <w:highlight w:val="none"/>
              </w:rPr>
              <w:t>分。其他响应人的价格分按照下列公式计算：</w:t>
            </w:r>
          </w:p>
          <w:p w14:paraId="623E7A1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报价得分=（基准折扣率/折扣率）×</w:t>
            </w:r>
            <w:r>
              <w:rPr>
                <w:rFonts w:hint="eastAsia" w:ascii="宋体" w:hAnsi="宋体" w:eastAsia="宋体" w:cs="宋体"/>
                <w:color w:val="auto"/>
                <w:sz w:val="24"/>
                <w:szCs w:val="24"/>
                <w:highlight w:val="none"/>
                <w:lang w:val="en-US" w:eastAsia="zh-CN"/>
              </w:rPr>
              <w:t>20</w:t>
            </w:r>
          </w:p>
        </w:tc>
        <w:tc>
          <w:tcPr>
            <w:tcW w:w="940" w:type="dxa"/>
            <w:tcBorders>
              <w:left w:val="single" w:color="000000" w:sz="8" w:space="0"/>
              <w:bottom w:val="single" w:color="000000" w:sz="8" w:space="0"/>
              <w:right w:val="single" w:color="000000" w:sz="4" w:space="0"/>
            </w:tcBorders>
            <w:shd w:val="clear" w:color="000000" w:fill="FFFFFF"/>
            <w:noWrap w:val="0"/>
            <w:tcMar>
              <w:left w:w="108" w:type="dxa"/>
              <w:right w:w="108" w:type="dxa"/>
            </w:tcMar>
            <w:vAlign w:val="center"/>
          </w:tcPr>
          <w:p w14:paraId="23B5C0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20分</w:t>
            </w:r>
          </w:p>
        </w:tc>
      </w:tr>
      <w:tr w14:paraId="06A73174">
        <w:tblPrEx>
          <w:tblCellMar>
            <w:top w:w="0" w:type="dxa"/>
            <w:left w:w="10" w:type="dxa"/>
            <w:bottom w:w="0" w:type="dxa"/>
            <w:right w:w="10" w:type="dxa"/>
          </w:tblCellMar>
        </w:tblPrEx>
        <w:trPr>
          <w:trHeight w:val="581" w:hRule="atLeast"/>
          <w:jc w:val="center"/>
        </w:trPr>
        <w:tc>
          <w:tcPr>
            <w:tcW w:w="9149" w:type="dxa"/>
            <w:gridSpan w:val="3"/>
            <w:tcBorders>
              <w:top w:val="single" w:color="000000" w:sz="8" w:space="0"/>
              <w:left w:val="single" w:color="000000" w:sz="8" w:space="0"/>
              <w:bottom w:val="single" w:color="000000" w:sz="8" w:space="0"/>
              <w:right w:val="single" w:color="000000" w:sz="8" w:space="0"/>
            </w:tcBorders>
            <w:shd w:val="clear" w:color="000000" w:fill="FFFFFF"/>
            <w:noWrap w:val="0"/>
            <w:tcMar>
              <w:left w:w="108" w:type="dxa"/>
              <w:right w:w="108" w:type="dxa"/>
            </w:tcMar>
            <w:vAlign w:val="center"/>
          </w:tcPr>
          <w:p w14:paraId="342A9C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940" w:type="dxa"/>
            <w:tcBorders>
              <w:top w:val="single" w:color="000000" w:sz="8" w:space="0"/>
              <w:left w:val="single" w:color="000000" w:sz="8" w:space="0"/>
              <w:bottom w:val="single" w:color="000000" w:sz="8" w:space="0"/>
              <w:right w:val="single" w:color="000000" w:sz="4" w:space="0"/>
            </w:tcBorders>
            <w:shd w:val="clear" w:color="000000" w:fill="FFFFFF"/>
            <w:noWrap w:val="0"/>
            <w:tcMar>
              <w:left w:w="108" w:type="dxa"/>
              <w:right w:w="108" w:type="dxa"/>
            </w:tcMar>
            <w:vAlign w:val="center"/>
          </w:tcPr>
          <w:p w14:paraId="2FD1D3D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100分</w:t>
            </w:r>
          </w:p>
        </w:tc>
      </w:tr>
    </w:tbl>
    <w:p w14:paraId="6965AB4F">
      <w:pPr>
        <w:pStyle w:val="2"/>
      </w:pPr>
    </w:p>
    <w:sectPr>
      <w:pgSz w:w="11906" w:h="16838"/>
      <w:pgMar w:top="1213"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808B9"/>
    <w:rsid w:val="01F30330"/>
    <w:rsid w:val="04B53D1B"/>
    <w:rsid w:val="06EC028C"/>
    <w:rsid w:val="08CE609D"/>
    <w:rsid w:val="09320F20"/>
    <w:rsid w:val="0A83110A"/>
    <w:rsid w:val="0D103128"/>
    <w:rsid w:val="0F390DFE"/>
    <w:rsid w:val="101A6499"/>
    <w:rsid w:val="101B0505"/>
    <w:rsid w:val="11E25A0A"/>
    <w:rsid w:val="12435D4E"/>
    <w:rsid w:val="12C42830"/>
    <w:rsid w:val="13CE6954"/>
    <w:rsid w:val="16DB79EC"/>
    <w:rsid w:val="18225B0E"/>
    <w:rsid w:val="1D557934"/>
    <w:rsid w:val="1DD12460"/>
    <w:rsid w:val="1F637EA5"/>
    <w:rsid w:val="20BE0DD8"/>
    <w:rsid w:val="25274198"/>
    <w:rsid w:val="253F05F7"/>
    <w:rsid w:val="260B04D9"/>
    <w:rsid w:val="26905944"/>
    <w:rsid w:val="280711DB"/>
    <w:rsid w:val="2DE96D89"/>
    <w:rsid w:val="2E5F13C2"/>
    <w:rsid w:val="2E812BAE"/>
    <w:rsid w:val="31CD416C"/>
    <w:rsid w:val="35825067"/>
    <w:rsid w:val="373D25EB"/>
    <w:rsid w:val="386D6DD1"/>
    <w:rsid w:val="38E057F5"/>
    <w:rsid w:val="3A080B60"/>
    <w:rsid w:val="3E7A3FF6"/>
    <w:rsid w:val="3FE74D87"/>
    <w:rsid w:val="401B00E9"/>
    <w:rsid w:val="44B83F02"/>
    <w:rsid w:val="47785E04"/>
    <w:rsid w:val="48F808B9"/>
    <w:rsid w:val="4D131782"/>
    <w:rsid w:val="52831274"/>
    <w:rsid w:val="529A7B71"/>
    <w:rsid w:val="552542D2"/>
    <w:rsid w:val="56446B46"/>
    <w:rsid w:val="56B73E6B"/>
    <w:rsid w:val="599A349F"/>
    <w:rsid w:val="5E2E3A79"/>
    <w:rsid w:val="6DBE28E9"/>
    <w:rsid w:val="7063448F"/>
    <w:rsid w:val="71976D97"/>
    <w:rsid w:val="750000AA"/>
    <w:rsid w:val="7522005E"/>
    <w:rsid w:val="79AE5130"/>
    <w:rsid w:val="7AC96B81"/>
    <w:rsid w:val="7B09145D"/>
    <w:rsid w:val="7DD6409E"/>
    <w:rsid w:val="7E24305B"/>
    <w:rsid w:val="7F72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rFonts w:ascii="仿宋_GB2312"/>
      <w:sz w:val="28"/>
    </w:rPr>
  </w:style>
  <w:style w:type="paragraph" w:styleId="3">
    <w:name w:val="Plain Text"/>
    <w:basedOn w:val="1"/>
    <w:qFormat/>
    <w:uiPriority w:val="0"/>
    <w:rPr>
      <w:rFonts w:ascii="宋体" w:hAnsi="Courier New" w:eastAsia="宋体"/>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2678</Words>
  <Characters>2752</Characters>
  <Lines>0</Lines>
  <Paragraphs>0</Paragraphs>
  <TotalTime>23</TotalTime>
  <ScaleCrop>false</ScaleCrop>
  <LinksUpToDate>false</LinksUpToDate>
  <CharactersWithSpaces>2753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2025-03-26T03:09:00Z</dcterms:created>
  <dc:creator>jimmy</dc:creator>
  <cp:lastModifiedBy>jimmy</cp:lastModifiedBy>
  <dcterms:modified xsi:type="dcterms:W3CDTF">2025-04-12T07:49:04Z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0FD98F99C900407E88AF36C9C845F1B5_13</vt:lpwstr>
  </property>
  <property fmtid="{D5CDD505-2E9C-101B-9397-08002B2CF9AE}" pid="4" name="KSOTemplateDocerSaveRecord">
    <vt:lpwstr>eyJoZGlkIjoiODYzMmQwYmU0MjQ2Y2U1OWE1MjAxYzJhN2FlMGQ4MjYiLCJ1c2VySWQiOiIyNjI4NTIzNjUifQ==</vt:lpwstr>
  </property>
</Properties>
</file>