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outlineLvl w:val="0"/>
      </w:pPr>
      <w:r>
        <w:rPr>
          <w:rFonts w:eastAsia="黑体"/>
        </w:rPr>
        <w:t>附件4</w:t>
      </w:r>
    </w:p>
    <w:p>
      <w:pPr>
        <w:widowControl/>
        <w:shd w:val="clear" w:color="auto" w:fill="FFFFFF"/>
        <w:snapToGrid w:val="0"/>
        <w:spacing w:line="590" w:lineRule="exact"/>
        <w:jc w:val="center"/>
        <w:outlineLvl w:val="0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</w:t>
      </w:r>
      <w:r>
        <w:rPr>
          <w:rFonts w:ascii="方正小标宋简体" w:hAnsi="仿宋" w:eastAsia="方正小标宋简体" w:cs="仿宋"/>
          <w:sz w:val="44"/>
          <w:szCs w:val="44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</w:rPr>
        <w:t>项目的说明</w:t>
      </w:r>
    </w:p>
    <w:p>
      <w:pPr>
        <w:widowControl/>
        <w:shd w:val="clear" w:color="auto" w:fill="FFFFFF"/>
        <w:snapToGrid w:val="0"/>
        <w:spacing w:line="590" w:lineRule="exact"/>
      </w:pP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二氧化硫残留量</w:t>
      </w:r>
    </w:p>
    <w:p>
      <w:pPr>
        <w:spacing w:line="60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2014）中规定，蔬菜干制品中二氧化硫残留量不得超过0.2g/kg，香辛料类不得使用二氧化硫。蔬菜干制品和香辛料类中二氧化硫残留量超标的原因，可能是加工过程中，超范围或超限量使用亚硫酸盐等漂白剂，以达到漂白和防腐的作用，从而导致产品中二氧化硫残留不符合要求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铅</w:t>
      </w:r>
      <w:r>
        <w:rPr>
          <w:rFonts w:eastAsia="黑体"/>
          <w:kern w:val="0"/>
          <w:szCs w:val="32"/>
        </w:rPr>
        <w:t>（以Pb计</w:t>
      </w:r>
      <w:r>
        <w:rPr>
          <w:rFonts w:hint="eastAsia" w:eastAsia="黑体"/>
          <w:kern w:val="0"/>
          <w:szCs w:val="32"/>
          <w:lang w:eastAsia="zh-CN"/>
        </w:rPr>
        <w:t>）</w:t>
      </w:r>
    </w:p>
    <w:p>
      <w:pPr>
        <w:widowControl/>
        <w:ind w:firstLine="640" w:firstLineChars="200"/>
        <w:jc w:val="left"/>
        <w:rPr>
          <w:rFonts w:hint="eastAsia"/>
        </w:rPr>
      </w:pPr>
      <w:r>
        <w:rPr>
          <w:rFonts w:hint="eastAsia"/>
          <w:kern w:val="0"/>
          <w:szCs w:val="32"/>
        </w:rPr>
        <w:t>铅是一种常见的重金属元素污染物，长期食用铅含量超标的食品，可能会对人体的血液系统、神经系统产生损害，尤其对儿童生长和智力发育的影响较大。《食品安全国家标准 食品中污染物限量》（GB 2762-20</w:t>
      </w:r>
      <w:r>
        <w:rPr>
          <w:kern w:val="0"/>
          <w:szCs w:val="32"/>
        </w:rPr>
        <w:t>22</w:t>
      </w:r>
      <w:r>
        <w:rPr>
          <w:rFonts w:hint="eastAsia"/>
          <w:kern w:val="0"/>
          <w:szCs w:val="32"/>
        </w:rPr>
        <w:t>）中规定，铅在</w:t>
      </w:r>
      <w:r>
        <w:rPr>
          <w:kern w:val="0"/>
          <w:szCs w:val="32"/>
        </w:rPr>
        <w:t>生姜</w:t>
      </w:r>
      <w:r>
        <w:rPr>
          <w:rFonts w:hint="eastAsia"/>
          <w:kern w:val="0"/>
          <w:szCs w:val="32"/>
        </w:rPr>
        <w:t>中最大限量为0.</w:t>
      </w: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mg/kg。</w:t>
      </w:r>
      <w:r>
        <w:rPr>
          <w:kern w:val="0"/>
          <w:szCs w:val="32"/>
        </w:rPr>
        <w:t>小黄姜</w:t>
      </w:r>
      <w:r>
        <w:rPr>
          <w:rFonts w:hint="eastAsia"/>
          <w:kern w:val="0"/>
          <w:szCs w:val="32"/>
        </w:rPr>
        <w:t>中铅超标的原因可能是</w:t>
      </w:r>
      <w:r>
        <w:rPr>
          <w:kern w:val="0"/>
          <w:szCs w:val="32"/>
        </w:rPr>
        <w:t>可能是种植过程对环境中</w:t>
      </w:r>
      <w:r>
        <w:rPr>
          <w:rFonts w:hint="eastAsia"/>
          <w:kern w:val="0"/>
          <w:szCs w:val="32"/>
        </w:rPr>
        <w:t>铅</w:t>
      </w:r>
      <w:r>
        <w:rPr>
          <w:kern w:val="0"/>
          <w:szCs w:val="32"/>
        </w:rPr>
        <w:t>元素的富集。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酸价</w:t>
      </w:r>
      <w:r>
        <w:rPr>
          <w:rFonts w:hint="eastAsia" w:eastAsia="黑体"/>
          <w:kern w:val="0"/>
          <w:szCs w:val="32"/>
          <w:lang w:eastAsia="zh-CN"/>
        </w:rPr>
        <w:t>（</w:t>
      </w:r>
      <w:r>
        <w:rPr>
          <w:rFonts w:hint="eastAsia" w:eastAsia="黑体"/>
          <w:kern w:val="0"/>
          <w:szCs w:val="32"/>
        </w:rPr>
        <w:t>KOH</w:t>
      </w:r>
      <w:r>
        <w:rPr>
          <w:rFonts w:hint="eastAsia" w:eastAsia="黑体"/>
          <w:kern w:val="0"/>
          <w:szCs w:val="32"/>
          <w:lang w:eastAsia="zh-CN"/>
        </w:rPr>
        <w:t>）</w:t>
      </w:r>
    </w:p>
    <w:p>
      <w:pPr>
        <w:pStyle w:val="5"/>
        <w:ind w:firstLine="672" w:firstLineChars="200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酸价，又称酸值，主要反映食品中油脂的酸败程度。酸价超标会导致食品有哈喇等异味，严重超标时会产生醛酮类化合物，长期摄入酸价超标的食品会对健康有一定影响。酸价（以脂肪计）检测值超标的原因，可能是企业原料采购把关不严，也可能是生产工艺不达标，还可能与产品储藏条件不当有关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恩诺沙星</w:t>
      </w:r>
    </w:p>
    <w:p>
      <w:pPr>
        <w:widowControl/>
        <w:ind w:firstLine="640" w:firstLineChars="20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/>
          <w:kern w:val="0"/>
          <w:szCs w:val="32"/>
        </w:rPr>
        <w:t>恩诺沙星属第三代喹诺酮类药。是一类人工合成的广谱抗菌药，用于治疗动物的皮肤感染、呼吸道感染等，是动物专属用药。长期使用或者过度使用可能导致在人体中蓄积，进而对人体机能产生危害，还可能使人体产生耐药性菌株</w:t>
      </w:r>
      <w:r>
        <w:rPr>
          <w:rFonts w:hint="eastAsia" w:ascii="仿宋_GB2312" w:hAnsi="仿宋_GB2312" w:cs="仿宋_GB2312"/>
          <w:kern w:val="0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孔雀石绿</w:t>
      </w:r>
    </w:p>
    <w:p>
      <w:pPr>
        <w:widowControl/>
        <w:ind w:firstLine="632" w:firstLineChars="20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pacing w:val="-2"/>
          <w:szCs w:val="32"/>
        </w:rPr>
        <w:t>孔雀石绿（malachite green）极易溶于水，水溶液呈</w:t>
      </w:r>
      <w:r>
        <w:rPr>
          <w:rFonts w:hint="eastAsia" w:ascii="仿宋_GB2312" w:hAnsi="仿宋_GB2312" w:cs="仿宋_GB2312"/>
          <w:spacing w:val="-3"/>
          <w:szCs w:val="32"/>
        </w:rPr>
        <w:t>蓝绿色，是工业染料。在水产养殖</w:t>
      </w:r>
      <w:r>
        <w:rPr>
          <w:rFonts w:hint="eastAsia" w:ascii="仿宋_GB2312" w:hAnsi="仿宋_GB2312" w:cs="仿宋_GB2312"/>
          <w:spacing w:val="-1"/>
          <w:szCs w:val="32"/>
        </w:rPr>
        <w:t>过程中，曾作为杀菌剂和抗寄生虫药，用于防治各种鱼病。孔雀石绿在鱼体内代谢为隐色</w:t>
      </w:r>
      <w:r>
        <w:rPr>
          <w:rFonts w:hint="eastAsia" w:ascii="仿宋_GB2312" w:hAnsi="仿宋_GB2312" w:cs="仿宋_GB2312"/>
          <w:spacing w:val="-7"/>
          <w:szCs w:val="32"/>
        </w:rPr>
        <w:t>孔雀石绿，长时间残留于生物体内。</w:t>
      </w:r>
    </w:p>
    <w:p>
      <w:pPr>
        <w:keepNext w:val="0"/>
        <w:keepLines w:val="0"/>
        <w:widowControl/>
        <w:suppressLineNumbers w:val="0"/>
        <w:ind w:firstLine="636" w:firstLineChars="200"/>
        <w:jc w:val="left"/>
      </w:pPr>
      <w:r>
        <w:rPr>
          <w:rFonts w:hint="eastAsia" w:ascii="仿宋_GB2312" w:hAnsi="仿宋_GB2312" w:cs="仿宋_GB2312"/>
          <w:spacing w:val="-1"/>
          <w:szCs w:val="32"/>
        </w:rPr>
        <w:t>孔雀石绿及隐色孔雀石绿均对人体肝脏具有潜在致癌性。农业部公告第</w:t>
      </w:r>
      <w:r>
        <w:rPr>
          <w:rFonts w:hint="eastAsia" w:ascii="仿宋_GB2312" w:hAnsi="仿宋_GB2312" w:cs="仿宋_GB2312"/>
          <w:spacing w:val="-43"/>
          <w:szCs w:val="32"/>
        </w:rPr>
        <w:t xml:space="preserve"> </w:t>
      </w:r>
      <w:r>
        <w:rPr>
          <w:rFonts w:hint="eastAsia" w:ascii="仿宋_GB2312" w:hAnsi="仿宋_GB2312" w:cs="仿宋_GB2312"/>
          <w:spacing w:val="-1"/>
          <w:szCs w:val="32"/>
        </w:rPr>
        <w:t>235号《动物性食品中兽药最高残留限量》规定禁止所有食品动物使用孔雀石绿，在动物所有可食组织</w:t>
      </w:r>
      <w:r>
        <w:rPr>
          <w:rFonts w:hint="eastAsia" w:ascii="仿宋_GB2312" w:hAnsi="仿宋_GB2312" w:cs="仿宋_GB2312"/>
          <w:spacing w:val="4"/>
          <w:szCs w:val="32"/>
        </w:rPr>
        <w:t xml:space="preserve">  </w:t>
      </w:r>
      <w:r>
        <w:rPr>
          <w:rFonts w:hint="eastAsia" w:ascii="仿宋_GB2312" w:hAnsi="仿宋_GB2312" w:cs="仿宋_GB2312"/>
          <w:spacing w:val="-5"/>
          <w:szCs w:val="32"/>
        </w:rPr>
        <w:t>中不得检出。《食品中可能违法添加的非食用物质和易滥用的食品添加剂名单（第四批）</w:t>
      </w:r>
      <w:r>
        <w:rPr>
          <w:rFonts w:hint="eastAsia" w:ascii="仿宋_GB2312" w:hAnsi="仿宋_GB2312" w:cs="仿宋_GB2312"/>
          <w:spacing w:val="-47"/>
          <w:szCs w:val="32"/>
        </w:rPr>
        <w:t xml:space="preserve"> </w:t>
      </w:r>
      <w:r>
        <w:rPr>
          <w:rFonts w:hint="eastAsia" w:ascii="仿宋_GB2312" w:hAnsi="仿宋_GB2312" w:cs="仿宋_GB2312"/>
          <w:spacing w:val="-5"/>
          <w:szCs w:val="32"/>
        </w:rPr>
        <w:t>》</w:t>
      </w: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pacing w:val="-2"/>
          <w:szCs w:val="32"/>
        </w:rPr>
        <w:t>（整顿办函〔2010〕50 号）将孔雀石绿列为食品中可能违法添加的非食用物质。农业农村</w:t>
      </w:r>
      <w:r>
        <w:rPr>
          <w:rFonts w:hint="eastAsia" w:ascii="仿宋_GB2312" w:hAnsi="仿宋_GB2312" w:cs="仿宋_GB2312"/>
          <w:spacing w:val="-1"/>
          <w:szCs w:val="32"/>
        </w:rPr>
        <w:t>部公告第</w:t>
      </w:r>
      <w:r>
        <w:rPr>
          <w:rFonts w:hint="eastAsia" w:ascii="仿宋_GB2312" w:hAnsi="仿宋_GB2312" w:cs="仿宋_GB2312"/>
          <w:spacing w:val="-47"/>
          <w:szCs w:val="32"/>
        </w:rPr>
        <w:t xml:space="preserve"> </w:t>
      </w:r>
      <w:r>
        <w:rPr>
          <w:rFonts w:hint="eastAsia" w:ascii="仿宋_GB2312" w:hAnsi="仿宋_GB2312" w:cs="仿宋_GB2312"/>
          <w:spacing w:val="-1"/>
          <w:szCs w:val="32"/>
        </w:rPr>
        <w:t>250</w:t>
      </w:r>
      <w:r>
        <w:rPr>
          <w:rFonts w:hint="eastAsia" w:ascii="仿宋_GB2312" w:hAnsi="仿宋_GB2312" w:cs="仿宋_GB2312"/>
          <w:spacing w:val="14"/>
          <w:szCs w:val="32"/>
        </w:rPr>
        <w:t xml:space="preserve"> </w:t>
      </w:r>
      <w:r>
        <w:rPr>
          <w:rFonts w:hint="eastAsia" w:ascii="仿宋_GB2312" w:hAnsi="仿宋_GB2312" w:cs="仿宋_GB2312"/>
          <w:spacing w:val="-1"/>
          <w:szCs w:val="32"/>
        </w:rPr>
        <w:t>号将孔雀石绿列入《食品动物中禁止使用</w:t>
      </w:r>
      <w:r>
        <w:rPr>
          <w:rFonts w:hint="eastAsia" w:ascii="仿宋_GB2312" w:hAnsi="仿宋_GB2312" w:cs="仿宋_GB2312"/>
          <w:spacing w:val="-2"/>
          <w:szCs w:val="32"/>
        </w:rPr>
        <w:t>的药品及其他化合物清单》中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eastAsia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呋喃唑酮代谢物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呋喃唑酮（furazolidone）是硝基呋喃类抗菌药，具有抗菌谱广等特点。对革兰阳性及阴性菌均有一定抗菌作用，包括沙门菌属、志贺菌属、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"https://baike.so.com/doc/2985839-3149270.html"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大肠杆菌、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肺炎克雷伯菌、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"https://baike.so.com/doc/5970782-6183739.html"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肠杆菌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"https://baike.so.com/doc/5970782-6183739.html"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属、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金葡菌、粪肠球菌、化脓性链球菌、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"https://baike.so.com/doc/5334848-5570286.html"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霍乱弧菌、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弯曲菌属、拟杆菌属等，在一定浓度下对毛滴虫、贾第鞭毛虫也有活性。</w:t>
      </w:r>
    </w:p>
    <w:p>
      <w:pPr>
        <w:pStyle w:val="5"/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动物产品的呋喃唑酮代谢物（AOZ）残留，一般不会导致对人体的急性毒性作用；长期大量摄入 AOZ 残留超标的食品，可能在人体内蓄积，引起恶心，呕吐、腹泻、头痛、 头晕、药物热、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"https://baike.so.com/doc/5397199-5634485.html"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皮疹、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肛门瘙痒、哮喘、直立性低血压、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"https://baike.so.com/doc/5378444-5614651.html"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低血糖、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肺浸润等，偶可出现溶血性贫血、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instrText xml:space="preserve"> HYPERLINK "https://baike.so.com/doc/5358766-5594320.html" </w:instrTex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黄疸及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多发性神经炎等。农业农村部公告第250号，已经呋喃唑酮列入《食品动物中禁止使用的药品及其他化合物清单》。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灭蝇胺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kern w:val="0"/>
          <w:szCs w:val="32"/>
        </w:rPr>
        <w:t>灭蝇胺（cyromazine），具有触杀功能的昆虫生长调节剂，干扰蜕皮和蛹化。用于植物时，具有内吸作用，在叶面上，表现出很强的输导效应；用于土壤中，能通过根吸收并向顶移动。通过饲养家禽或处理繁殖场所，防治鸡粪中的双翅目幼虫。也用于防治动物身上的苍蝇。叶面喷雾防治蔬菜（例如芹菜、番茄、生菜）、瓜类植物、马铃薯及观赏植物的潜叶虫。也用于喷淋或滴灌和防治蘑菇中的菇蝇（眼蕈蚊、蚤蝇）。大鼠急性经口 LD50 为 3920mg/kg，急性毒性分级为低毒级。三嗪类类杀虫剂，不易引起急性中毒。若中毒，症状为头痛、头昏、恶心、呕吐、多汗、无力、胸闷、视物模糊、纳差等。食用食品一般不会导致灭蝇胺的急性中毒，但长期食用灭蝇胺超标的食品，对人体健康也有一定影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氯氰菊酯和高效氯氰菊酯</w:t>
      </w:r>
    </w:p>
    <w:p>
      <w:pPr>
        <w:widowControl/>
        <w:ind w:firstLine="636" w:firstLineChars="200"/>
        <w:jc w:val="lef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pacing w:val="-1"/>
          <w:szCs w:val="32"/>
        </w:rPr>
        <w:t>氯氰菊酯和高效氯氰菊酯（cypermethrin and beta-cypermethrin），非内吸性杀虫剂，具有触杀、胃毒作用。防治果树（包括柑橘类植物）、葡萄、蔬菜、马铃薯、葫芦、生菜、辣椒、番茄、谷物、玉米、大豆、棉花、咖啡、可可、稻、胡桃、油菜、甜菜、苜蓿、谷物、烟草和蔬菜观赏植物和林业上的多种害虫，特别是鳞翅目，但也有鞘翅目、双翅目、半翅目和其他类害虫。也可防治动物厩内的苍蝇和其他昆虫，以及公共卫生设施的蚊子、蟑螂、苍蝇和其他害虫。大鼠急性经口LD50为86mg/kg，急性毒性分级为中等毒。属于拟除虫菊酯类性农药急性经口中毒症状为头痛、头晕、恶心、呕吐、胸闷、乏力、双手颤抖、心律不齐等，严重者可出现昏迷或休克。食用食品一般不会导致氯氰菊酯和高效氯氰菊酯的急性中毒，但长期食用氯氰菊酯和高效氯氰菊酯超标的食品，对人体健康也有一定影响。</w:t>
      </w:r>
    </w:p>
    <w:p>
      <w:pPr>
        <w:numPr>
          <w:ilvl w:val="0"/>
          <w:numId w:val="1"/>
        </w:numPr>
        <w:spacing w:line="600" w:lineRule="exact"/>
        <w:ind w:firstLine="640"/>
        <w:outlineLvl w:val="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氯氟氰菊酯和高效氯氟氰菊酯</w:t>
      </w:r>
    </w:p>
    <w:p>
      <w:pPr>
        <w:widowControl/>
        <w:ind w:firstLine="632" w:firstLineChars="20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spacing w:val="-2"/>
          <w:szCs w:val="32"/>
        </w:rPr>
        <w:t>氯氟氰菊酯和高效氯氟氰菊酯（cyhalothrin and lambda-cyhalothrin），是一种广谱、高效拟除虫菊酯类杀虫剂，以触杀和胃毒作用为主，无内吸作用，被广泛用于农林业和卫生害虫的防治。但由于其不易降解，对鱼类、蜜蜂、蚕和蚯蚓都有剧毒，对生态环境有一定影响。经口急性毒性试验表明大鼠经口LD50为144mg/kg ，急性毒性分级为中等毒性，中毒表现有头痛、头昏、恶心、呕吐、抽搐，重者可出现血压急剧下降、出现昏迷或多器官衰竭。相关研究未见遗传毒性、生殖发育毒性、致畸性和致癌性。少量的农药残留不会引起人体急性中毒，但长期食用氯氟氰菊酯超标的食品，对人体健康有一定影响。</w:t>
      </w:r>
    </w:p>
    <w:p>
      <w:pPr>
        <w:spacing w:line="600" w:lineRule="exact"/>
        <w:rPr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0B551"/>
    <w:multiLevelType w:val="singleLevel"/>
    <w:tmpl w:val="FB70B55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mUxMWQ3MTQzMjNlNTdiYzdhYTdhOWI1YmMxNjEifQ=="/>
  </w:docVars>
  <w:rsids>
    <w:rsidRoot w:val="13933077"/>
    <w:rsid w:val="000651AF"/>
    <w:rsid w:val="000A4D71"/>
    <w:rsid w:val="000E427A"/>
    <w:rsid w:val="001F6647"/>
    <w:rsid w:val="00261E15"/>
    <w:rsid w:val="00283E62"/>
    <w:rsid w:val="00636EB0"/>
    <w:rsid w:val="00A90AB0"/>
    <w:rsid w:val="00C87634"/>
    <w:rsid w:val="00E97958"/>
    <w:rsid w:val="0A1A3822"/>
    <w:rsid w:val="13933077"/>
    <w:rsid w:val="1DFAF1FE"/>
    <w:rsid w:val="3B9EA039"/>
    <w:rsid w:val="3D7B0DB7"/>
    <w:rsid w:val="3FEFAAA4"/>
    <w:rsid w:val="3FFE90F0"/>
    <w:rsid w:val="3FFF3E9D"/>
    <w:rsid w:val="40923879"/>
    <w:rsid w:val="427174BE"/>
    <w:rsid w:val="45486BFC"/>
    <w:rsid w:val="47E533D9"/>
    <w:rsid w:val="4DA702BE"/>
    <w:rsid w:val="4FADFA3C"/>
    <w:rsid w:val="54A656ED"/>
    <w:rsid w:val="54D8B2EB"/>
    <w:rsid w:val="5BFBCA0A"/>
    <w:rsid w:val="5DFB73DE"/>
    <w:rsid w:val="5F797CB5"/>
    <w:rsid w:val="5FBF8755"/>
    <w:rsid w:val="5FD5BA12"/>
    <w:rsid w:val="620F5688"/>
    <w:rsid w:val="6DB79CC1"/>
    <w:rsid w:val="6DD939D8"/>
    <w:rsid w:val="6DF6A9F9"/>
    <w:rsid w:val="6FCC496E"/>
    <w:rsid w:val="6FDDEECF"/>
    <w:rsid w:val="6FEF77DD"/>
    <w:rsid w:val="71F34370"/>
    <w:rsid w:val="733D8842"/>
    <w:rsid w:val="73537EBD"/>
    <w:rsid w:val="76B31878"/>
    <w:rsid w:val="77EF1385"/>
    <w:rsid w:val="79BD46B9"/>
    <w:rsid w:val="79F91A13"/>
    <w:rsid w:val="7B7F55A5"/>
    <w:rsid w:val="7BFCF1DE"/>
    <w:rsid w:val="7ECD89A9"/>
    <w:rsid w:val="7EDF177E"/>
    <w:rsid w:val="7F55C47F"/>
    <w:rsid w:val="7F6B00FA"/>
    <w:rsid w:val="7FAE334C"/>
    <w:rsid w:val="7FCFCCAB"/>
    <w:rsid w:val="7FF70FDD"/>
    <w:rsid w:val="7FFD93B1"/>
    <w:rsid w:val="9F99EE0A"/>
    <w:rsid w:val="B7DBBFF9"/>
    <w:rsid w:val="CBFF4A00"/>
    <w:rsid w:val="D977D8DD"/>
    <w:rsid w:val="DBBBC71F"/>
    <w:rsid w:val="DCEBD9ED"/>
    <w:rsid w:val="DF3DA38A"/>
    <w:rsid w:val="DF7FB655"/>
    <w:rsid w:val="DFE61FE7"/>
    <w:rsid w:val="E7FFA4D7"/>
    <w:rsid w:val="EDEE0A0B"/>
    <w:rsid w:val="EF6DCD86"/>
    <w:rsid w:val="EF7714D0"/>
    <w:rsid w:val="F54FE93B"/>
    <w:rsid w:val="F6D71663"/>
    <w:rsid w:val="F7FA6328"/>
    <w:rsid w:val="FB9D1EAA"/>
    <w:rsid w:val="FBFF118C"/>
    <w:rsid w:val="FCFF72BC"/>
    <w:rsid w:val="FDBFD974"/>
    <w:rsid w:val="FDDE72CC"/>
    <w:rsid w:val="FDF77A3C"/>
    <w:rsid w:val="FDFD5E4F"/>
    <w:rsid w:val="FE7FA3C9"/>
    <w:rsid w:val="FEE92E8D"/>
    <w:rsid w:val="FEFBD9DF"/>
    <w:rsid w:val="FF7FA0D8"/>
    <w:rsid w:val="FFDB8B14"/>
    <w:rsid w:val="FFDF3DB6"/>
    <w:rsid w:val="FFEF5431"/>
    <w:rsid w:val="FF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498</Words>
  <Characters>2845</Characters>
  <Lines>23</Lines>
  <Paragraphs>6</Paragraphs>
  <TotalTime>6</TotalTime>
  <ScaleCrop>false</ScaleCrop>
  <LinksUpToDate>false</LinksUpToDate>
  <CharactersWithSpaces>3337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2022-04-30T19:06:00Z</dcterms:created>
  <dc:creator>Administrator</dc:creator>
  <cp:lastModifiedBy>uos</cp:lastModifiedBy>
  <dcterms:modified xsi:type="dcterms:W3CDTF">2024-10-16T15:01:03Z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2BAE2864926EB1C0CCECB16655530871</vt:lpwstr>
  </property>
</Properties>
</file>