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  <w:r>
        <w:rPr>
          <w:rFonts w:hint="eastAsia"/>
          <w:sz w:val="32"/>
          <w:szCs w:val="32"/>
        </w:rPr>
        <w:t xml:space="preserve"> 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供应商评分表（自评）</w:t>
      </w:r>
    </w:p>
    <w:p>
      <w:pPr>
        <w:snapToGrid w:val="0"/>
        <w:spacing w:line="460" w:lineRule="exact"/>
        <w:rPr>
          <w:rFonts w:hint="eastAsia" w:ascii="仿宋" w:hAnsi="仿宋" w:eastAsia="仿宋" w:cs="仿宋"/>
          <w:bCs/>
          <w:spacing w:val="-4"/>
          <w:kern w:val="0"/>
          <w:sz w:val="32"/>
          <w:szCs w:val="32"/>
          <w:lang w:val="zh-CN"/>
        </w:rPr>
      </w:pPr>
    </w:p>
    <w:tbl>
      <w:tblPr>
        <w:tblStyle w:val="4"/>
        <w:tblW w:w="486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1222"/>
        <w:gridCol w:w="5744"/>
        <w:gridCol w:w="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tblHeader/>
          <w:jc w:val="center"/>
        </w:trPr>
        <w:tc>
          <w:tcPr>
            <w:tcW w:w="341" w:type="pct"/>
            <w:vAlign w:val="center"/>
          </w:tcPr>
          <w:p>
            <w:pPr>
              <w:snapToGrid w:val="0"/>
              <w:jc w:val="center"/>
              <w:rPr>
                <w:rFonts w:ascii="仿宋" w:hAnsi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序号</w:t>
            </w:r>
          </w:p>
        </w:tc>
        <w:tc>
          <w:tcPr>
            <w:tcW w:w="736" w:type="pct"/>
            <w:vAlign w:val="center"/>
          </w:tcPr>
          <w:p>
            <w:pPr>
              <w:snapToGrid w:val="0"/>
              <w:jc w:val="center"/>
              <w:rPr>
                <w:rFonts w:ascii="仿宋" w:hAnsi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评分项目及权重</w:t>
            </w:r>
          </w:p>
        </w:tc>
        <w:tc>
          <w:tcPr>
            <w:tcW w:w="3460" w:type="pct"/>
            <w:vAlign w:val="center"/>
          </w:tcPr>
          <w:p>
            <w:pPr>
              <w:pStyle w:val="3"/>
              <w:snapToGrid w:val="0"/>
              <w:ind w:firstLine="48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评分标准</w:t>
            </w:r>
          </w:p>
        </w:tc>
        <w:tc>
          <w:tcPr>
            <w:tcW w:w="462" w:type="pct"/>
            <w:vAlign w:val="center"/>
          </w:tcPr>
          <w:p>
            <w:pPr>
              <w:pStyle w:val="3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5" w:hRule="atLeast"/>
          <w:jc w:val="center"/>
        </w:trPr>
        <w:tc>
          <w:tcPr>
            <w:tcW w:w="341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kern w:val="0"/>
                <w:sz w:val="24"/>
                <w:lang w:val="e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"/>
              </w:rPr>
              <w:t>1</w:t>
            </w:r>
          </w:p>
        </w:tc>
        <w:tc>
          <w:tcPr>
            <w:tcW w:w="736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kern w:val="0"/>
                <w:sz w:val="24"/>
                <w:lang w:val="e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"/>
              </w:rPr>
              <w:t>实施方案</w:t>
            </w:r>
          </w:p>
          <w:p>
            <w:pPr>
              <w:snapToGrid w:val="0"/>
              <w:jc w:val="center"/>
              <w:rPr>
                <w:rFonts w:ascii="仿宋_GB2312" w:hAnsi="宋体" w:cs="宋体"/>
                <w:kern w:val="0"/>
                <w:sz w:val="24"/>
                <w:lang w:val="e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"/>
              </w:rPr>
              <w:t>（15分）</w:t>
            </w:r>
          </w:p>
        </w:tc>
        <w:tc>
          <w:tcPr>
            <w:tcW w:w="3460" w:type="pct"/>
            <w:vAlign w:val="center"/>
          </w:tcPr>
          <w:p>
            <w:pPr>
              <w:widowControl/>
              <w:spacing w:line="240" w:lineRule="atLeast"/>
              <w:jc w:val="both"/>
              <w:rPr>
                <w:rFonts w:ascii="仿宋_GB2312" w:hAnsi="宋体" w:cs="宋体"/>
                <w:kern w:val="0"/>
                <w:sz w:val="24"/>
                <w:lang w:val="e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"/>
              </w:rPr>
              <w:t>项目实施方案对项目要求分析准确，具体方案全面、详细合理；服务实施流程科学、可行、完全满足用户需求，得15分；</w:t>
            </w:r>
          </w:p>
          <w:p>
            <w:pPr>
              <w:widowControl/>
              <w:spacing w:line="240" w:lineRule="atLeast"/>
              <w:jc w:val="both"/>
              <w:rPr>
                <w:rFonts w:ascii="仿宋_GB2312" w:hAnsi="宋体" w:cs="宋体"/>
                <w:kern w:val="0"/>
                <w:sz w:val="24"/>
                <w:lang w:val="e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"/>
              </w:rPr>
              <w:t>对项目要求分析较准确，具体方案较全面、较合理；服务实施流程较可行、满足用户需求，得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12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"/>
              </w:rPr>
              <w:t>分；</w:t>
            </w:r>
          </w:p>
          <w:p>
            <w:pPr>
              <w:widowControl/>
              <w:spacing w:line="240" w:lineRule="atLeast"/>
              <w:jc w:val="both"/>
              <w:rPr>
                <w:rFonts w:ascii="仿宋_GB2312" w:hAnsi="宋体" w:cs="宋体"/>
                <w:kern w:val="0"/>
                <w:sz w:val="24"/>
                <w:lang w:val="e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"/>
              </w:rPr>
              <w:t>对项目要求分析基本准确，具体方案基本全面、合理；服务实施流程基本可行、基本满足用户需求，得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10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"/>
              </w:rPr>
              <w:t>分；</w:t>
            </w:r>
          </w:p>
          <w:p>
            <w:pPr>
              <w:widowControl/>
              <w:spacing w:line="240" w:lineRule="atLeast"/>
              <w:jc w:val="both"/>
              <w:rPr>
                <w:rFonts w:ascii="仿宋_GB2312" w:hAnsi="宋体" w:cs="宋体"/>
                <w:kern w:val="0"/>
                <w:sz w:val="24"/>
                <w:lang w:val="e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"/>
              </w:rPr>
              <w:t>对项目要求分析一般，具体方案不够全面、合理；服务实施流程有一定可行性、基本满足用户需求，得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"/>
              </w:rPr>
              <w:t>分；</w:t>
            </w:r>
          </w:p>
          <w:p>
            <w:pPr>
              <w:shd w:val="clear" w:color="auto" w:fill="FFFFFF"/>
              <w:jc w:val="both"/>
              <w:rPr>
                <w:rFonts w:ascii="仿宋_GB2312" w:hAnsi="宋体" w:cs="宋体"/>
                <w:kern w:val="0"/>
                <w:sz w:val="24"/>
                <w:lang w:val="e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"/>
              </w:rPr>
              <w:t>对项目要求分析不准确，具体方案不合理；服务实施流程可行性低，无法满足用户需求或未提供技术方案的，得</w:t>
            </w:r>
            <w:r>
              <w:rPr>
                <w:rFonts w:ascii="仿宋_GB2312" w:hAnsi="宋体" w:cs="宋体"/>
                <w:kern w:val="0"/>
                <w:sz w:val="24"/>
                <w:szCs w:val="24"/>
                <w:lang w:val="en"/>
              </w:rPr>
              <w:t>0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"/>
              </w:rPr>
              <w:t>分。</w:t>
            </w:r>
          </w:p>
        </w:tc>
        <w:tc>
          <w:tcPr>
            <w:tcW w:w="462" w:type="pct"/>
            <w:vAlign w:val="center"/>
          </w:tcPr>
          <w:p>
            <w:pPr>
              <w:pStyle w:val="3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2" w:hRule="atLeast"/>
          <w:jc w:val="center"/>
        </w:trPr>
        <w:tc>
          <w:tcPr>
            <w:tcW w:w="341" w:type="pct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36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kern w:val="0"/>
                <w:sz w:val="24"/>
                <w:lang w:val="e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"/>
              </w:rPr>
              <w:t>质量控制措施（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"/>
              </w:rPr>
              <w:t>分）</w:t>
            </w:r>
          </w:p>
        </w:tc>
        <w:tc>
          <w:tcPr>
            <w:tcW w:w="3460" w:type="pct"/>
            <w:vAlign w:val="center"/>
          </w:tcPr>
          <w:p>
            <w:pPr>
              <w:spacing w:line="276" w:lineRule="auto"/>
              <w:jc w:val="both"/>
              <w:rPr>
                <w:rFonts w:ascii="仿宋_GB2312" w:hAnsi="宋体" w:cs="宋体"/>
                <w:kern w:val="0"/>
                <w:sz w:val="24"/>
                <w:lang w:val="e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"/>
              </w:rPr>
              <w:t>针对本项目有提供完善到位的质量保证和质量控制措施，制定质量控制方案，方案完全满足本项目要求的，得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"/>
              </w:rPr>
              <w:t>分；</w:t>
            </w:r>
          </w:p>
          <w:p>
            <w:pPr>
              <w:spacing w:line="276" w:lineRule="auto"/>
              <w:jc w:val="both"/>
              <w:rPr>
                <w:rFonts w:ascii="仿宋_GB2312" w:hAnsi="宋体" w:cs="宋体"/>
                <w:kern w:val="0"/>
                <w:sz w:val="24"/>
                <w:lang w:val="e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"/>
              </w:rPr>
              <w:t>针对本项目有提供较完善到位的质量保证和质量控制措施，制定质量控制方案，方案较能满足本项目要求的，得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"/>
              </w:rPr>
              <w:t>分；</w:t>
            </w:r>
          </w:p>
          <w:p>
            <w:pPr>
              <w:spacing w:line="276" w:lineRule="auto"/>
              <w:jc w:val="both"/>
              <w:rPr>
                <w:rFonts w:ascii="仿宋_GB2312" w:hAnsi="宋体" w:cs="宋体"/>
                <w:kern w:val="0"/>
                <w:sz w:val="24"/>
                <w:lang w:val="e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"/>
              </w:rPr>
              <w:t>针对本项目提供的质量保证和质量控制措施不够完善，制定质量控制方案，方案基本能满足本项目要求的，得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"/>
              </w:rPr>
              <w:t>分；</w:t>
            </w:r>
          </w:p>
          <w:p>
            <w:pPr>
              <w:spacing w:line="276" w:lineRule="auto"/>
              <w:jc w:val="both"/>
              <w:rPr>
                <w:rFonts w:ascii="仿宋_GB2312" w:hAnsi="宋体" w:cs="宋体"/>
                <w:kern w:val="0"/>
                <w:sz w:val="24"/>
                <w:lang w:val="e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"/>
              </w:rPr>
              <w:t>针对本项目的质量保证和质量控制措施不完善，未制定质量控制方案，方案大部分无法满足本项目要求的，得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"/>
              </w:rPr>
              <w:t>分；</w:t>
            </w:r>
          </w:p>
          <w:p>
            <w:pPr>
              <w:snapToGrid w:val="0"/>
              <w:spacing w:line="240" w:lineRule="atLeast"/>
              <w:jc w:val="both"/>
              <w:rPr>
                <w:rFonts w:ascii="仿宋_GB2312" w:hAnsi="宋体" w:cs="宋体"/>
                <w:kern w:val="0"/>
                <w:sz w:val="24"/>
                <w:lang w:val="e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"/>
              </w:rPr>
              <w:t>未提供得</w:t>
            </w:r>
            <w:r>
              <w:rPr>
                <w:rFonts w:ascii="仿宋_GB2312" w:hAnsi="宋体" w:cs="宋体"/>
                <w:kern w:val="0"/>
                <w:sz w:val="24"/>
                <w:szCs w:val="24"/>
                <w:lang w:val="en"/>
              </w:rPr>
              <w:t>0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"/>
              </w:rPr>
              <w:t>分。</w:t>
            </w:r>
          </w:p>
        </w:tc>
        <w:tc>
          <w:tcPr>
            <w:tcW w:w="462" w:type="pct"/>
            <w:vAlign w:val="center"/>
          </w:tcPr>
          <w:p>
            <w:pPr>
              <w:pStyle w:val="3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0" w:hRule="atLeast"/>
          <w:jc w:val="center"/>
        </w:trPr>
        <w:tc>
          <w:tcPr>
            <w:tcW w:w="341" w:type="pct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36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kern w:val="0"/>
                <w:sz w:val="24"/>
                <w:lang w:val="e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"/>
              </w:rPr>
              <w:t>技术能力</w:t>
            </w:r>
          </w:p>
          <w:p>
            <w:pPr>
              <w:snapToGrid w:val="0"/>
              <w:jc w:val="center"/>
              <w:rPr>
                <w:rFonts w:ascii="仿宋_GB2312" w:hAnsi="宋体" w:cs="宋体"/>
                <w:kern w:val="0"/>
                <w:sz w:val="24"/>
                <w:lang w:val="e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"/>
              </w:rPr>
              <w:t>分）</w:t>
            </w:r>
          </w:p>
        </w:tc>
        <w:tc>
          <w:tcPr>
            <w:tcW w:w="3460" w:type="pct"/>
            <w:vAlign w:val="center"/>
          </w:tcPr>
          <w:p>
            <w:pPr>
              <w:pStyle w:val="3"/>
              <w:snapToGrid w:val="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"/>
              </w:rPr>
              <w:t>（1）响应单位有完善的组织架构为优，得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"/>
              </w:rPr>
              <w:t>分；次得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"/>
              </w:rPr>
              <w:t>分；其他得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"/>
              </w:rPr>
              <w:t>分。</w:t>
            </w:r>
          </w:p>
          <w:p>
            <w:pPr>
              <w:pStyle w:val="3"/>
              <w:snapToGrid w:val="0"/>
              <w:jc w:val="both"/>
              <w:rPr>
                <w:rFonts w:ascii="仿宋_GB2312" w:eastAsia="仿宋_GB2312" w:cs="宋体"/>
                <w:color w:val="FF0000"/>
                <w:kern w:val="0"/>
                <w:sz w:val="24"/>
                <w:lang w:val="e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"/>
              </w:rPr>
              <w:t>（2）投标人的服务响应时间短，有对采购人有利的服务承诺，得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"/>
              </w:rPr>
              <w:t>分；无得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"/>
              </w:rPr>
              <w:t>分。</w:t>
            </w:r>
          </w:p>
        </w:tc>
        <w:tc>
          <w:tcPr>
            <w:tcW w:w="462" w:type="pct"/>
            <w:vAlign w:val="center"/>
          </w:tcPr>
          <w:p>
            <w:pPr>
              <w:pStyle w:val="3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7" w:hRule="atLeast"/>
          <w:jc w:val="center"/>
        </w:trPr>
        <w:tc>
          <w:tcPr>
            <w:tcW w:w="341" w:type="pct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36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kern w:val="0"/>
                <w:sz w:val="24"/>
                <w:lang w:val="e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"/>
              </w:rPr>
              <w:t>工作经验</w:t>
            </w:r>
          </w:p>
          <w:p>
            <w:pPr>
              <w:snapToGrid w:val="0"/>
              <w:jc w:val="center"/>
              <w:rPr>
                <w:rFonts w:ascii="仿宋_GB2312" w:hAnsi="宋体" w:cs="宋体"/>
                <w:kern w:val="0"/>
                <w:sz w:val="24"/>
                <w:lang w:val="e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"/>
              </w:rPr>
              <w:t>分）</w:t>
            </w:r>
          </w:p>
        </w:tc>
        <w:tc>
          <w:tcPr>
            <w:tcW w:w="3460" w:type="pct"/>
            <w:vAlign w:val="center"/>
          </w:tcPr>
          <w:p>
            <w:pPr>
              <w:pStyle w:val="2"/>
              <w:snapToGrid w:val="0"/>
              <w:ind w:firstLine="0" w:firstLineChars="0"/>
              <w:rPr>
                <w:rFonts w:ascii="仿宋_GB2312" w:hAnsi="宋体" w:cs="宋体"/>
                <w:kern w:val="0"/>
                <w:sz w:val="24"/>
                <w:lang w:val="en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供应商完成</w:t>
            </w:r>
            <w:r>
              <w:rPr>
                <w:rFonts w:hint="eastAsia" w:ascii="仿宋_GB2312" w:hAnsi="宋体" w:cs="宋体"/>
                <w:sz w:val="24"/>
                <w:szCs w:val="24"/>
                <w:lang w:val="en-US" w:eastAsia="zh-CN"/>
              </w:rPr>
              <w:t>土壤污染隐患排查、</w:t>
            </w:r>
            <w:r>
              <w:rPr>
                <w:rFonts w:hint="eastAsia" w:ascii="仿宋_GB2312" w:hAnsi="宋体" w:cs="宋体"/>
                <w:sz w:val="24"/>
                <w:szCs w:val="24"/>
              </w:rPr>
              <w:t>土壤污染状况调查类或地下水监测项目的，每项得</w:t>
            </w:r>
            <w:r>
              <w:rPr>
                <w:rFonts w:hint="eastAsia" w:ascii="仿宋_GB2312" w:hAnsi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宋体" w:cs="宋体"/>
                <w:sz w:val="24"/>
                <w:szCs w:val="24"/>
              </w:rPr>
              <w:t>分，本项最高得</w:t>
            </w:r>
            <w:r>
              <w:rPr>
                <w:rFonts w:hint="eastAsia" w:ascii="仿宋_GB2312" w:hAnsi="宋体" w:cs="宋体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_GB2312" w:hAnsi="宋体" w:cs="宋体"/>
                <w:sz w:val="24"/>
                <w:szCs w:val="24"/>
              </w:rPr>
              <w:t>分。（须提供合同复印件并加盖公章）。</w:t>
            </w:r>
          </w:p>
        </w:tc>
        <w:tc>
          <w:tcPr>
            <w:tcW w:w="462" w:type="pct"/>
            <w:vAlign w:val="center"/>
          </w:tcPr>
          <w:p>
            <w:pPr>
              <w:pStyle w:val="3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9" w:hRule="atLeast"/>
          <w:jc w:val="center"/>
        </w:trPr>
        <w:tc>
          <w:tcPr>
            <w:tcW w:w="341" w:type="pct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36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kern w:val="0"/>
                <w:sz w:val="24"/>
                <w:lang w:val="e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"/>
              </w:rPr>
              <w:t>价格评分</w:t>
            </w:r>
          </w:p>
          <w:p>
            <w:pPr>
              <w:snapToGrid w:val="0"/>
              <w:jc w:val="center"/>
              <w:rPr>
                <w:rFonts w:ascii="仿宋_GB2312" w:hAnsi="宋体" w:cs="宋体"/>
                <w:kern w:val="0"/>
                <w:sz w:val="24"/>
                <w:lang w:val="e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"/>
              </w:rPr>
              <w:t>分）</w:t>
            </w:r>
          </w:p>
        </w:tc>
        <w:tc>
          <w:tcPr>
            <w:tcW w:w="3460" w:type="pct"/>
            <w:vAlign w:val="center"/>
          </w:tcPr>
          <w:p>
            <w:pPr>
              <w:pStyle w:val="2"/>
              <w:snapToGrid w:val="0"/>
              <w:ind w:firstLine="0" w:firstLineChars="0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取满足采购文件要求且价格扣除后的最低投标报价作为评标基准价，其价格分为满分。其他供应商的价格分统一按照下列公式计算：价格扣除后的投标报价得分=（评标基准价/价格扣除后的投标报价）×10</w:t>
            </w:r>
            <w:r>
              <w:rPr>
                <w:rFonts w:hint="eastAsia" w:ascii="仿宋_GB2312" w:hAnsi="宋体" w:cs="宋体"/>
                <w:sz w:val="24"/>
                <w:szCs w:val="24"/>
                <w:lang w:val="en-US" w:eastAsia="zh-CN"/>
              </w:rPr>
              <w:t>%</w:t>
            </w:r>
          </w:p>
          <w:p>
            <w:pPr>
              <w:pStyle w:val="2"/>
              <w:snapToGrid w:val="0"/>
              <w:ind w:firstLine="480"/>
              <w:rPr>
                <w:rFonts w:ascii="仿宋_GB2312" w:hAnsi="宋体" w:cs="宋体"/>
                <w:sz w:val="24"/>
                <w:szCs w:val="24"/>
                <w:lang w:val="en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（对符合规定的小型和微型企业（监狱企业、残疾人福利单位视同小型、微型企业）报价给予10%的价格扣除。）</w:t>
            </w:r>
          </w:p>
        </w:tc>
        <w:tc>
          <w:tcPr>
            <w:tcW w:w="462" w:type="pct"/>
            <w:vAlign w:val="center"/>
          </w:tcPr>
          <w:p>
            <w:pPr>
              <w:pStyle w:val="2"/>
              <w:snapToGrid w:val="0"/>
              <w:ind w:firstLine="48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6" w:hRule="atLeast"/>
          <w:jc w:val="center"/>
        </w:trPr>
        <w:tc>
          <w:tcPr>
            <w:tcW w:w="1077" w:type="pct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kern w:val="0"/>
                <w:sz w:val="24"/>
                <w:lang w:val="e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"/>
              </w:rPr>
              <w:t>综合得分</w:t>
            </w:r>
          </w:p>
        </w:tc>
        <w:tc>
          <w:tcPr>
            <w:tcW w:w="3460" w:type="pct"/>
            <w:vAlign w:val="center"/>
          </w:tcPr>
          <w:p>
            <w:pPr>
              <w:pStyle w:val="3"/>
              <w:spacing w:line="480" w:lineRule="exact"/>
              <w:jc w:val="center"/>
              <w:rPr>
                <w:rFonts w:ascii="仿宋_GB2312" w:eastAsia="仿宋_GB2312" w:cs="宋体"/>
                <w:kern w:val="0"/>
                <w:sz w:val="24"/>
                <w:lang w:val="e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val="en"/>
              </w:rPr>
              <w:t>——</w:t>
            </w:r>
          </w:p>
        </w:tc>
        <w:tc>
          <w:tcPr>
            <w:tcW w:w="462" w:type="pct"/>
            <w:vAlign w:val="center"/>
          </w:tcPr>
          <w:p>
            <w:pPr>
              <w:pStyle w:val="2"/>
              <w:snapToGrid w:val="0"/>
              <w:ind w:firstLine="48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snapToGrid w:val="0"/>
        <w:spacing w:line="460" w:lineRule="exact"/>
        <w:rPr>
          <w:rFonts w:ascii="仿宋" w:hAnsi="仿宋" w:eastAsia="仿宋" w:cs="仿宋"/>
          <w:bCs/>
          <w:spacing w:val="-4"/>
          <w:kern w:val="0"/>
          <w:sz w:val="32"/>
          <w:szCs w:val="32"/>
          <w:lang w:val="zh-CN"/>
        </w:rPr>
      </w:pPr>
    </w:p>
    <w:p>
      <w:pPr>
        <w:snapToGrid w:val="0"/>
        <w:spacing w:line="460" w:lineRule="exact"/>
        <w:rPr>
          <w:rFonts w:ascii="仿宋" w:hAnsi="仿宋" w:eastAsia="仿宋" w:cs="仿宋"/>
          <w:bCs/>
          <w:spacing w:val="-4"/>
          <w:kern w:val="0"/>
          <w:sz w:val="32"/>
          <w:szCs w:val="32"/>
          <w:lang w:val="zh-CN"/>
        </w:rPr>
      </w:pPr>
    </w:p>
    <w:p>
      <w:pPr>
        <w:snapToGrid w:val="0"/>
        <w:spacing w:line="460" w:lineRule="exact"/>
        <w:rPr>
          <w:rFonts w:ascii="仿宋" w:hAnsi="仿宋" w:eastAsia="仿宋" w:cs="仿宋"/>
          <w:bCs/>
          <w:spacing w:val="-4"/>
          <w:kern w:val="0"/>
          <w:sz w:val="32"/>
          <w:szCs w:val="32"/>
          <w:lang w:val="zh-CN"/>
        </w:rPr>
      </w:pPr>
    </w:p>
    <w:p>
      <w:pPr>
        <w:snapToGrid w:val="0"/>
        <w:spacing w:line="460" w:lineRule="exact"/>
        <w:rPr>
          <w:rFonts w:ascii="仿宋" w:hAnsi="仿宋" w:eastAsia="仿宋" w:cs="仿宋"/>
          <w:bCs/>
          <w:spacing w:val="-4"/>
          <w:kern w:val="0"/>
          <w:sz w:val="32"/>
          <w:szCs w:val="32"/>
          <w:lang w:val="zh-CN"/>
        </w:rPr>
      </w:pPr>
    </w:p>
    <w:p>
      <w:pPr>
        <w:snapToGrid w:val="0"/>
        <w:spacing w:line="460" w:lineRule="exact"/>
        <w:rPr>
          <w:rFonts w:ascii="仿宋" w:hAnsi="仿宋" w:eastAsia="仿宋" w:cs="仿宋"/>
          <w:bCs/>
          <w:spacing w:val="-4"/>
          <w:kern w:val="0"/>
          <w:sz w:val="32"/>
          <w:szCs w:val="32"/>
          <w:lang w:val="zh-CN"/>
        </w:rPr>
      </w:pPr>
    </w:p>
    <w:p>
      <w:pPr>
        <w:snapToGrid w:val="0"/>
        <w:spacing w:line="460" w:lineRule="exact"/>
        <w:rPr>
          <w:rFonts w:ascii="仿宋" w:hAnsi="仿宋" w:eastAsia="仿宋" w:cs="仿宋"/>
          <w:bCs/>
          <w:spacing w:val="-4"/>
          <w:kern w:val="0"/>
          <w:sz w:val="32"/>
          <w:szCs w:val="32"/>
          <w:lang w:val="zh-CN"/>
        </w:rPr>
      </w:pPr>
    </w:p>
    <w:p>
      <w:pPr>
        <w:snapToGrid w:val="0"/>
        <w:spacing w:line="460" w:lineRule="exact"/>
        <w:rPr>
          <w:rFonts w:ascii="仿宋" w:hAnsi="仿宋" w:eastAsia="仿宋" w:cs="仿宋"/>
          <w:bCs/>
          <w:spacing w:val="-4"/>
          <w:kern w:val="0"/>
          <w:sz w:val="32"/>
          <w:szCs w:val="32"/>
          <w:lang w:val="zh-CN"/>
        </w:rPr>
      </w:pPr>
    </w:p>
    <w:p>
      <w:pPr>
        <w:snapToGrid w:val="0"/>
        <w:spacing w:line="460" w:lineRule="exact"/>
        <w:rPr>
          <w:rFonts w:ascii="仿宋" w:hAnsi="仿宋" w:eastAsia="仿宋" w:cs="仿宋"/>
          <w:bCs/>
          <w:spacing w:val="-4"/>
          <w:kern w:val="0"/>
          <w:sz w:val="32"/>
          <w:szCs w:val="32"/>
          <w:lang w:val="zh-CN"/>
        </w:rPr>
      </w:pPr>
    </w:p>
    <w:p>
      <w:pPr>
        <w:snapToGrid w:val="0"/>
        <w:spacing w:line="460" w:lineRule="exact"/>
        <w:rPr>
          <w:rFonts w:ascii="仿宋" w:hAnsi="仿宋" w:eastAsia="仿宋" w:cs="仿宋"/>
          <w:bCs/>
          <w:spacing w:val="-4"/>
          <w:kern w:val="0"/>
          <w:sz w:val="32"/>
          <w:szCs w:val="32"/>
          <w:lang w:val="zh-CN"/>
        </w:rPr>
      </w:pPr>
    </w:p>
    <w:p>
      <w:pPr>
        <w:snapToGrid w:val="0"/>
        <w:spacing w:line="460" w:lineRule="exact"/>
        <w:rPr>
          <w:rFonts w:ascii="仿宋" w:hAnsi="仿宋" w:eastAsia="仿宋" w:cs="仿宋"/>
          <w:bCs/>
          <w:spacing w:val="-4"/>
          <w:kern w:val="0"/>
          <w:sz w:val="32"/>
          <w:szCs w:val="32"/>
          <w:lang w:val="zh-CN"/>
        </w:rPr>
      </w:pPr>
    </w:p>
    <w:p>
      <w:pPr>
        <w:snapToGrid w:val="0"/>
        <w:spacing w:line="460" w:lineRule="exact"/>
        <w:rPr>
          <w:rFonts w:ascii="仿宋" w:hAnsi="仿宋" w:eastAsia="仿宋" w:cs="仿宋"/>
          <w:bCs/>
          <w:spacing w:val="-4"/>
          <w:kern w:val="0"/>
          <w:sz w:val="32"/>
          <w:szCs w:val="32"/>
          <w:lang w:val="zh-CN"/>
        </w:rPr>
      </w:pPr>
    </w:p>
    <w:p>
      <w:pPr>
        <w:snapToGrid w:val="0"/>
        <w:spacing w:line="460" w:lineRule="exact"/>
        <w:rPr>
          <w:rFonts w:ascii="仿宋" w:hAnsi="仿宋" w:eastAsia="仿宋" w:cs="仿宋"/>
          <w:bCs/>
          <w:spacing w:val="-4"/>
          <w:kern w:val="0"/>
          <w:sz w:val="32"/>
          <w:szCs w:val="32"/>
          <w:lang w:val="zh-CN"/>
        </w:rPr>
      </w:pPr>
    </w:p>
    <w:p>
      <w:pPr>
        <w:snapToGrid w:val="0"/>
        <w:spacing w:line="460" w:lineRule="exact"/>
        <w:rPr>
          <w:rFonts w:ascii="仿宋" w:hAnsi="仿宋" w:eastAsia="仿宋" w:cs="仿宋"/>
          <w:bCs/>
          <w:spacing w:val="-4"/>
          <w:kern w:val="0"/>
          <w:sz w:val="32"/>
          <w:szCs w:val="32"/>
          <w:lang w:val="zh-CN"/>
        </w:rPr>
      </w:pPr>
    </w:p>
    <w:p>
      <w:pPr>
        <w:snapToGrid w:val="0"/>
        <w:spacing w:line="460" w:lineRule="exact"/>
        <w:rPr>
          <w:rFonts w:ascii="仿宋" w:hAnsi="仿宋" w:eastAsia="仿宋" w:cs="仿宋"/>
          <w:bCs/>
          <w:spacing w:val="-4"/>
          <w:kern w:val="0"/>
          <w:sz w:val="32"/>
          <w:szCs w:val="32"/>
          <w:lang w:val="zh-CN"/>
        </w:rPr>
      </w:pPr>
    </w:p>
    <w:p>
      <w:pPr>
        <w:snapToGrid w:val="0"/>
        <w:spacing w:line="460" w:lineRule="exact"/>
        <w:rPr>
          <w:rFonts w:ascii="仿宋" w:hAnsi="仿宋" w:eastAsia="仿宋" w:cs="仿宋"/>
          <w:bCs/>
          <w:spacing w:val="-4"/>
          <w:kern w:val="0"/>
          <w:sz w:val="32"/>
          <w:szCs w:val="32"/>
          <w:lang w:val="zh-CN"/>
        </w:rPr>
      </w:pPr>
    </w:p>
    <w:p>
      <w:pPr>
        <w:snapToGrid w:val="0"/>
        <w:spacing w:line="460" w:lineRule="exact"/>
        <w:rPr>
          <w:rFonts w:ascii="仿宋" w:hAnsi="仿宋" w:eastAsia="仿宋" w:cs="仿宋"/>
          <w:bCs/>
          <w:spacing w:val="-4"/>
          <w:kern w:val="0"/>
          <w:sz w:val="32"/>
          <w:szCs w:val="32"/>
          <w:lang w:val="zh-CN"/>
        </w:rPr>
      </w:pPr>
    </w:p>
    <w:p>
      <w:pPr>
        <w:snapToGrid w:val="0"/>
        <w:spacing w:line="460" w:lineRule="exact"/>
        <w:rPr>
          <w:rFonts w:ascii="仿宋" w:hAnsi="仿宋" w:eastAsia="仿宋" w:cs="仿宋"/>
          <w:bCs/>
          <w:spacing w:val="-4"/>
          <w:kern w:val="0"/>
          <w:sz w:val="32"/>
          <w:szCs w:val="32"/>
          <w:lang w:val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AA443A-8DDF-43E9-AD6B-4D2D327ADFB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2B34059-782B-4ADE-8E07-72D2B615CD2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679B746-85CB-4112-8933-82EF57F4395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878EC400-F269-4474-B560-ABF6860222D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27DCD66E-4A98-46F8-B374-C9C9E316292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wZDQzNDIwZTc2ODk5ZDQ2MWU5MDBkNjYzYzIwOTYifQ=="/>
  </w:docVars>
  <w:rsids>
    <w:rsidRoot w:val="11F434AE"/>
    <w:rsid w:val="11F434AE"/>
    <w:rsid w:val="411D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  <w:style w:type="paragraph" w:styleId="3">
    <w:name w:val="Plain Text"/>
    <w:basedOn w:val="1"/>
    <w:qFormat/>
    <w:uiPriority w:val="0"/>
    <w:rPr>
      <w:rFonts w:ascii="宋体" w:hAnsi="宋体" w:eastAsia="宋体" w:cs="Courier New"/>
      <w:color w:val="000000"/>
      <w:kern w:val="1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2023-11-27T09:08:00Z</dcterms:created>
  <dc:creator>Jonathan</dc:creator>
  <cp:lastModifiedBy>Jonathan</cp:lastModifiedBy>
  <dcterms:modified xsi:type="dcterms:W3CDTF">2023-11-27T09:09:34Z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E300871F706E4366B919D463A5884606_13</vt:lpwstr>
  </property>
</Properties>
</file>