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6 -->
  <w:body>
    <w:p>
      <w:pPr>
        <w:tabs>
          <w:tab w:val="left" w:pos="2580"/>
          <w:tab w:val="left" w:pos="3846"/>
          <w:tab w:val="left" w:pos="5832"/>
          <w:tab w:val="left" w:pos="7797"/>
          <w:tab w:val="left" w:pos="9763"/>
          <w:tab w:val="left" w:pos="11221"/>
          <w:tab w:val="left" w:pos="12918"/>
        </w:tabs>
        <w:rPr>
          <w:rFonts w:ascii="黑体" w:eastAsia="黑体" w:hAnsi="黑体" w:cs="黑体" w:hint="default"/>
          <w:b w:val="0"/>
          <w:bCs w:val="0"/>
          <w:i w:val="0"/>
          <w:color w:val="000000"/>
          <w:kern w:val="0"/>
          <w:sz w:val="30"/>
          <w:szCs w:val="30"/>
          <w:u w:val="none"/>
          <w:lang w:eastAsia="zh-CN" w:bidi="ar"/>
        </w:rPr>
      </w:pPr>
      <w:r>
        <w:rPr>
          <w:rFonts w:ascii="黑体" w:eastAsia="黑体" w:hAnsi="黑体" w:cs="黑体" w:hint="default"/>
          <w:b w:val="0"/>
          <w:bCs w:val="0"/>
          <w:i w:val="0"/>
          <w:color w:val="000000"/>
          <w:kern w:val="0"/>
          <w:sz w:val="30"/>
          <w:szCs w:val="30"/>
          <w:u w:val="none"/>
          <w:lang w:eastAsia="zh-CN" w:bidi="ar"/>
        </w:rPr>
        <w:t>附件3：</w:t>
      </w:r>
    </w:p>
    <w:p>
      <w:pPr>
        <w:tabs>
          <w:tab w:val="left" w:pos="2580"/>
          <w:tab w:val="left" w:pos="3846"/>
          <w:tab w:val="left" w:pos="5832"/>
          <w:tab w:val="left" w:pos="7797"/>
          <w:tab w:val="left" w:pos="9763"/>
          <w:tab w:val="left" w:pos="11221"/>
          <w:tab w:val="left" w:pos="12918"/>
        </w:tabs>
        <w:ind w:firstLine="4160" w:firstLineChars="1300"/>
        <w:rPr>
          <w:rFonts w:ascii="Times New Roman" w:eastAsia="宋体" w:hAnsi="Times New Roman" w:cs="Times New Roman" w:hint="default"/>
          <w:i w:val="0"/>
          <w:color w:val="000000"/>
          <w:sz w:val="24"/>
          <w:szCs w:val="24"/>
          <w:u w:val="none"/>
        </w:rPr>
      </w:pPr>
      <w:r>
        <w:rPr>
          <w:rFonts w:ascii="Times New Roman" w:eastAsia="黑体" w:hAnsi="Times New Roman" w:cs="Times New Roman" w:hint="default"/>
          <w:i w:val="0"/>
          <w:color w:val="000000"/>
          <w:sz w:val="32"/>
          <w:szCs w:val="32"/>
          <w:u w:val="none"/>
        </w:rPr>
        <w:t>已入账市政基础设施明细情况一览表</w:t>
      </w:r>
      <w:r>
        <w:rPr>
          <w:rFonts w:ascii="Times New Roman" w:eastAsia="黑体" w:hAnsi="Times New Roman" w:cs="Times New Roman" w:hint="default"/>
          <w:i w:val="0"/>
          <w:color w:val="000000"/>
          <w:sz w:val="32"/>
          <w:szCs w:val="32"/>
          <w:u w:val="none"/>
        </w:rPr>
        <w:tab/>
      </w:r>
      <w:r>
        <w:rPr>
          <w:rFonts w:ascii="Times New Roman" w:eastAsia="宋体" w:hAnsi="Times New Roman" w:cs="Times New Roman" w:hint="default"/>
          <w:i w:val="0"/>
          <w:color w:val="000000"/>
          <w:sz w:val="24"/>
          <w:szCs w:val="24"/>
          <w:u w:val="none"/>
        </w:rPr>
        <w:tab/>
      </w:r>
      <w:r>
        <w:rPr>
          <w:rFonts w:ascii="Times New Roman" w:eastAsia="宋体" w:hAnsi="Times New Roman" w:cs="Times New Roman" w:hint="default"/>
          <w:i w:val="0"/>
          <w:color w:val="000000"/>
          <w:sz w:val="24"/>
          <w:szCs w:val="24"/>
          <w:u w:val="none"/>
        </w:rPr>
        <w:tab/>
      </w:r>
      <w:r>
        <w:rPr>
          <w:rFonts w:ascii="Times New Roman" w:eastAsia="宋体" w:hAnsi="Times New Roman" w:cs="Times New Roman" w:hint="default"/>
          <w:i w:val="0"/>
          <w:color w:val="000000"/>
          <w:sz w:val="24"/>
          <w:szCs w:val="24"/>
          <w:u w:val="none"/>
        </w:rPr>
        <w:tab/>
      </w:r>
      <w:r>
        <w:rPr>
          <w:rFonts w:ascii="Times New Roman" w:eastAsia="宋体" w:hAnsi="Times New Roman" w:cs="Times New Roman" w:hint="default"/>
          <w:i w:val="0"/>
          <w:color w:val="000000"/>
          <w:sz w:val="24"/>
          <w:szCs w:val="24"/>
          <w:u w:val="none"/>
        </w:rPr>
        <w:tab/>
      </w:r>
      <w:r>
        <w:rPr>
          <w:rFonts w:ascii="Times New Roman" w:eastAsia="宋体" w:hAnsi="Times New Roman" w:cs="Times New Roman" w:hint="default"/>
          <w:i w:val="0"/>
          <w:color w:val="000000"/>
          <w:sz w:val="24"/>
          <w:szCs w:val="24"/>
          <w:u w:val="none"/>
        </w:rPr>
        <w:tab/>
      </w:r>
      <w:r>
        <w:rPr>
          <w:rFonts w:ascii="Times New Roman" w:eastAsia="宋体" w:hAnsi="Times New Roman" w:cs="Times New Roman" w:hint="default"/>
          <w:i w:val="0"/>
          <w:color w:val="000000"/>
          <w:sz w:val="24"/>
          <w:szCs w:val="24"/>
          <w:u w:val="none"/>
        </w:rPr>
        <w:tab/>
      </w:r>
    </w:p>
    <w:p>
      <w:pPr>
        <w:tabs>
          <w:tab w:val="left" w:pos="2580"/>
          <w:tab w:val="left" w:pos="3846"/>
          <w:tab w:val="left" w:pos="5832"/>
          <w:tab w:val="left" w:pos="7797"/>
          <w:tab w:val="left" w:pos="9763"/>
          <w:tab w:val="left" w:pos="12918"/>
        </w:tabs>
        <w:rPr>
          <w:rFonts w:ascii="Times New Roman" w:eastAsia="仿宋_GB2312" w:hAnsi="Times New Roman" w:cs="Times New Roman" w:hint="default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tabs>
          <w:tab w:val="left" w:pos="2580"/>
          <w:tab w:val="left" w:pos="3846"/>
          <w:tab w:val="left" w:pos="5832"/>
          <w:tab w:val="left" w:pos="7797"/>
          <w:tab w:val="left" w:pos="9763"/>
          <w:tab w:val="left" w:pos="12918"/>
        </w:tabs>
        <w:rPr>
          <w:rFonts w:ascii="Times New Roman" w:eastAsia="仿宋_GB2312" w:hAnsi="Times New Roman" w:cs="Times New Roman" w:hint="default"/>
          <w:i w:val="0"/>
          <w:color w:val="000000"/>
          <w:sz w:val="32"/>
          <w:szCs w:val="32"/>
          <w:u w:val="none"/>
        </w:rPr>
      </w:pPr>
      <w:r>
        <w:rPr>
          <w:rFonts w:ascii="Times New Roman" w:eastAsia="仿宋_GB2312" w:hAnsi="Times New Roman" w:cs="Times New Roman" w:hint="default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报送单位：（盖章）</w:t>
      </w:r>
      <w:r>
        <w:rPr>
          <w:rFonts w:ascii="Times New Roman" w:eastAsia="仿宋_GB2312" w:hAnsi="Times New Roman" w:cs="Times New Roman" w:hint="default"/>
          <w:i w:val="0"/>
          <w:color w:val="000000"/>
          <w:sz w:val="21"/>
          <w:szCs w:val="21"/>
          <w:u w:val="none"/>
        </w:rPr>
        <w:tab/>
      </w:r>
      <w:r>
        <w:rPr>
          <w:rFonts w:ascii="Times New Roman" w:eastAsia="仿宋_GB2312" w:hAnsi="Times New Roman" w:cs="Times New Roman" w:hint="default"/>
          <w:i w:val="0"/>
          <w:color w:val="000000"/>
          <w:sz w:val="21"/>
          <w:szCs w:val="21"/>
          <w:u w:val="none"/>
        </w:rPr>
        <w:tab/>
      </w:r>
      <w:r>
        <w:rPr>
          <w:rFonts w:ascii="Times New Roman" w:eastAsia="仿宋_GB2312" w:hAnsi="Times New Roman" w:cs="Times New Roman" w:hint="default"/>
          <w:i w:val="0"/>
          <w:color w:val="000000"/>
          <w:sz w:val="21"/>
          <w:szCs w:val="21"/>
          <w:u w:val="none"/>
        </w:rPr>
        <w:tab/>
      </w:r>
      <w:r>
        <w:rPr>
          <w:rFonts w:ascii="Times New Roman" w:eastAsia="宋体" w:hAnsi="Times New Roman" w:cs="Times New Roman" w:hint="default"/>
          <w:i w:val="0"/>
          <w:color w:val="000000"/>
          <w:sz w:val="21"/>
          <w:szCs w:val="21"/>
          <w:u w:val="none"/>
        </w:rPr>
        <w:tab/>
      </w:r>
      <w:r>
        <w:rPr>
          <w:rFonts w:ascii="Times New Roman" w:eastAsia="宋体" w:hAnsi="Times New Roman" w:cs="Times New Roman" w:hint="default"/>
          <w:i w:val="0"/>
          <w:color w:val="000000"/>
          <w:sz w:val="21"/>
          <w:szCs w:val="21"/>
          <w:u w:val="none"/>
        </w:rPr>
        <w:tab/>
      </w:r>
      <w:r>
        <w:rPr>
          <w:rFonts w:ascii="Times New Roman" w:eastAsia="仿宋_GB2312" w:hAnsi="Times New Roman" w:cs="Times New Roman" w:hint="default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报送时间：</w:t>
      </w:r>
      <w:r>
        <w:rPr>
          <w:rFonts w:ascii="Times New Roman" w:eastAsia="仿宋_GB2312" w:hAnsi="Times New Roman" w:cs="Times New Roman" w:hint="default"/>
          <w:i w:val="0"/>
          <w:color w:val="000000"/>
          <w:kern w:val="0"/>
          <w:sz w:val="21"/>
          <w:szCs w:val="21"/>
          <w:u w:val="none"/>
          <w:lang w:eastAsia="zh-CN" w:bidi="ar"/>
        </w:rPr>
        <w:t xml:space="preserve">     年  月  日</w:t>
      </w:r>
      <w:r>
        <w:rPr>
          <w:rFonts w:ascii="Times New Roman" w:eastAsia="仿宋_GB2312" w:hAnsi="Times New Roman" w:cs="Times New Roman" w:hint="default"/>
          <w:i w:val="0"/>
          <w:color w:val="000000"/>
          <w:sz w:val="28"/>
          <w:szCs w:val="28"/>
          <w:u w:val="none"/>
        </w:rPr>
        <w:tab/>
      </w:r>
    </w:p>
    <w:tbl>
      <w:tblPr>
        <w:tblStyle w:val="TableNormal"/>
        <w:tblW w:w="13735" w:type="dxa"/>
        <w:jc w:val="center"/>
        <w:tblInd w:w="-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091"/>
        <w:gridCol w:w="1546"/>
        <w:gridCol w:w="1517"/>
        <w:gridCol w:w="1583"/>
        <w:gridCol w:w="1470"/>
        <w:gridCol w:w="1580"/>
        <w:gridCol w:w="1500"/>
        <w:gridCol w:w="1329"/>
        <w:gridCol w:w="1119"/>
      </w:tblGrid>
      <w:tr>
        <w:tblPrEx>
          <w:tblW w:w="13735" w:type="dxa"/>
          <w:jc w:val="center"/>
          <w:tblInd w:w="-29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67"/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eastAsia="仿宋_GB2312" w:hAnsi="Times New Roman" w:cs="Times New Roman" w:hint="default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default"/>
                <w:b/>
                <w:bCs/>
                <w:sz w:val="21"/>
                <w:szCs w:val="21"/>
                <w:lang w:val="en-US" w:eastAsia="zh-CN"/>
              </w:rPr>
              <w:t>资产名称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eastAsia="仿宋_GB2312" w:hAnsi="Times New Roman" w:cs="Times New Roman" w:hint="default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default"/>
                <w:b/>
                <w:bCs/>
                <w:sz w:val="21"/>
                <w:szCs w:val="21"/>
                <w:lang w:val="en-US" w:eastAsia="zh-CN"/>
              </w:rPr>
              <w:t>三级科目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eastAsia="仿宋_GB2312" w:hAnsi="Times New Roman" w:cs="Times New Roman" w:hint="default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default"/>
                <w:b/>
                <w:bCs/>
                <w:sz w:val="21"/>
                <w:szCs w:val="21"/>
                <w:lang w:val="en-US" w:eastAsia="zh-CN"/>
              </w:rPr>
              <w:t>四级科目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eastAsia="仿宋_GB2312" w:hAnsi="Times New Roman" w:cs="Times New Roman" w:hint="default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default"/>
                <w:b/>
                <w:bCs/>
                <w:sz w:val="21"/>
                <w:szCs w:val="21"/>
                <w:lang w:val="en-US" w:eastAsia="zh-CN"/>
              </w:rPr>
              <w:t>入账金额（单位：万元）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eastAsia="仿宋_GB2312" w:hAnsi="Times New Roman" w:cs="Times New Roman" w:hint="default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default"/>
                <w:b/>
                <w:bCs/>
                <w:sz w:val="21"/>
                <w:szCs w:val="21"/>
                <w:lang w:val="en-US" w:eastAsia="zh-CN"/>
              </w:rPr>
              <w:t>入账价值确定依据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eastAsia="仿宋_GB2312" w:hAnsi="Times New Roman" w:cs="Times New Roman" w:hint="default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default"/>
                <w:b/>
                <w:bCs/>
                <w:sz w:val="21"/>
                <w:szCs w:val="21"/>
                <w:lang w:val="en-US" w:eastAsia="zh-CN"/>
              </w:rPr>
              <w:t>记账单位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eastAsia="仿宋_GB2312" w:hAnsi="Times New Roman" w:cs="Times New Roman" w:hint="default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default"/>
                <w:b/>
                <w:bCs/>
                <w:sz w:val="21"/>
                <w:szCs w:val="21"/>
                <w:lang w:val="en-US" w:eastAsia="zh-CN"/>
              </w:rPr>
              <w:t>主管部门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eastAsia="仿宋_GB2312" w:hAnsi="Times New Roman" w:cs="Times New Roman" w:hint="default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default"/>
                <w:b/>
                <w:bCs/>
                <w:sz w:val="21"/>
                <w:szCs w:val="21"/>
                <w:lang w:val="en-US" w:eastAsia="zh-CN"/>
              </w:rPr>
              <w:t>所属</w:t>
            </w:r>
            <w:r>
              <w:rPr>
                <w:rFonts w:ascii="Times New Roman" w:eastAsia="仿宋_GB2312" w:hAnsi="Times New Roman" w:cs="Times New Roman" w:hint="default"/>
                <w:b/>
                <w:bCs/>
                <w:sz w:val="21"/>
                <w:szCs w:val="21"/>
                <w:lang w:eastAsia="zh-CN"/>
              </w:rPr>
              <w:t>镇街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eastAsia="仿宋_GB2312" w:hAnsi="Times New Roman" w:cs="Times New Roman" w:hint="default"/>
                <w:b/>
                <w:bCs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default"/>
                <w:b/>
                <w:bCs/>
                <w:sz w:val="21"/>
                <w:szCs w:val="21"/>
                <w:lang w:val="en-US" w:eastAsia="zh-CN"/>
              </w:rPr>
              <w:t>所属县（市、区）</w:t>
            </w:r>
          </w:p>
        </w:tc>
      </w:tr>
      <w:tr>
        <w:tblPrEx>
          <w:tblW w:w="13735" w:type="dxa"/>
          <w:jc w:val="center"/>
          <w:tblInd w:w="-29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67"/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default"/>
                <w:sz w:val="21"/>
                <w:szCs w:val="21"/>
                <w:lang w:eastAsia="zh-CN"/>
              </w:rPr>
              <w:t>例：XX</w:t>
            </w:r>
            <w:r>
              <w:rPr>
                <w:rFonts w:ascii="Times New Roman" w:eastAsia="仿宋_GB2312" w:hAnsi="Times New Roman" w:cs="Times New Roman" w:hint="default"/>
                <w:sz w:val="21"/>
                <w:szCs w:val="21"/>
                <w:lang w:val="en-US" w:eastAsia="zh-CN"/>
              </w:rPr>
              <w:t>桥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default"/>
                <w:sz w:val="21"/>
                <w:szCs w:val="21"/>
                <w:lang w:val="en-US" w:eastAsia="zh-CN"/>
              </w:rPr>
              <w:t>交通设施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default"/>
                <w:sz w:val="21"/>
                <w:szCs w:val="21"/>
                <w:lang w:val="en-US" w:eastAsia="zh-CN"/>
              </w:rPr>
              <w:t>城市桥梁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default"/>
                <w:sz w:val="21"/>
                <w:szCs w:val="21"/>
                <w:lang w:val="en-US" w:eastAsia="zh-CN"/>
              </w:rPr>
              <w:t>100</w:t>
            </w:r>
            <w:r>
              <w:rPr>
                <w:rFonts w:ascii="Times New Roman" w:eastAsia="仿宋_GB2312" w:hAnsi="Times New Roman" w:cs="Times New Roman" w:hint="default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default"/>
                <w:sz w:val="21"/>
                <w:szCs w:val="21"/>
                <w:lang w:val="en-US" w:eastAsia="zh-CN"/>
              </w:rPr>
              <w:t>竣工决算金额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default"/>
                <w:sz w:val="21"/>
                <w:szCs w:val="21"/>
                <w:lang w:eastAsia="zh-CN"/>
              </w:rPr>
              <w:t>XX</w:t>
            </w:r>
            <w:r>
              <w:rPr>
                <w:rFonts w:ascii="Times New Roman" w:eastAsia="仿宋_GB2312" w:hAnsi="Times New Roman" w:cs="Times New Roman" w:hint="default"/>
                <w:sz w:val="21"/>
                <w:szCs w:val="21"/>
                <w:lang w:val="en-US" w:eastAsia="zh-CN"/>
              </w:rPr>
              <w:t>县</w:t>
            </w:r>
            <w:r>
              <w:rPr>
                <w:rFonts w:ascii="Times New Roman" w:eastAsia="仿宋_GB2312" w:hAnsi="Times New Roman" w:cs="Times New Roman" w:hint="default"/>
                <w:sz w:val="21"/>
                <w:szCs w:val="21"/>
                <w:lang w:eastAsia="zh-CN"/>
              </w:rPr>
              <w:t>（市、区）</w:t>
            </w:r>
            <w:r>
              <w:rPr>
                <w:rFonts w:ascii="Times New Roman" w:eastAsia="仿宋_GB2312" w:hAnsi="Times New Roman" w:cs="Times New Roman" w:hint="default"/>
                <w:sz w:val="21"/>
                <w:szCs w:val="21"/>
                <w:lang w:val="en-US" w:eastAsia="zh-CN"/>
              </w:rPr>
              <w:t>桥梁管理处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default"/>
                <w:sz w:val="21"/>
                <w:szCs w:val="21"/>
                <w:lang w:eastAsia="zh-CN"/>
              </w:rPr>
              <w:t>XX</w:t>
            </w:r>
            <w:r>
              <w:rPr>
                <w:rFonts w:ascii="Times New Roman" w:eastAsia="仿宋_GB2312" w:hAnsi="Times New Roman" w:cs="Times New Roman" w:hint="default"/>
                <w:sz w:val="21"/>
                <w:szCs w:val="21"/>
                <w:lang w:val="en-US" w:eastAsia="zh-CN"/>
              </w:rPr>
              <w:t>县交通</w:t>
            </w:r>
          </w:p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default"/>
                <w:sz w:val="21"/>
                <w:szCs w:val="21"/>
                <w:lang w:val="en-US" w:eastAsia="zh-CN"/>
              </w:rPr>
              <w:t>运输局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default"/>
                <w:sz w:val="21"/>
                <w:szCs w:val="21"/>
                <w:lang w:eastAsia="zh-CN"/>
              </w:rPr>
              <w:t>XX</w:t>
            </w:r>
            <w:r>
              <w:rPr>
                <w:rFonts w:ascii="Times New Roman" w:eastAsia="仿宋_GB2312" w:hAnsi="Times New Roman" w:cs="Times New Roman" w:hint="default"/>
                <w:sz w:val="21"/>
                <w:szCs w:val="21"/>
                <w:lang w:eastAsia="zh-CN"/>
              </w:rPr>
              <w:t>镇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default"/>
                <w:sz w:val="21"/>
                <w:szCs w:val="21"/>
                <w:lang w:eastAsia="zh-CN"/>
              </w:rPr>
              <w:t>XX</w:t>
            </w:r>
            <w:r>
              <w:rPr>
                <w:rFonts w:ascii="Times New Roman" w:eastAsia="仿宋_GB2312" w:hAnsi="Times New Roman" w:cs="Times New Roman" w:hint="default"/>
                <w:sz w:val="21"/>
                <w:szCs w:val="21"/>
                <w:lang w:val="en-US" w:eastAsia="zh-CN"/>
              </w:rPr>
              <w:t>县</w:t>
            </w:r>
          </w:p>
        </w:tc>
      </w:tr>
      <w:tr>
        <w:tblPrEx>
          <w:tblW w:w="13735" w:type="dxa"/>
          <w:jc w:val="center"/>
          <w:tblInd w:w="-29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67"/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</w:p>
        </w:tc>
      </w:tr>
      <w:tr>
        <w:tblPrEx>
          <w:tblW w:w="13735" w:type="dxa"/>
          <w:jc w:val="center"/>
          <w:tblInd w:w="-29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67"/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</w:p>
        </w:tc>
      </w:tr>
      <w:tr>
        <w:tblPrEx>
          <w:tblW w:w="13735" w:type="dxa"/>
          <w:jc w:val="center"/>
          <w:tblInd w:w="-29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67"/>
          <w:jc w:val="center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ascii="Times New Roman" w:eastAsia="仿宋_GB2312" w:hAnsi="Times New Roman" w:cs="Times New Roman" w:hint="default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840" w:hanging="420" w:leftChars="0" w:hangingChars="200"/>
        <w:jc w:val="left"/>
        <w:textAlignment w:val="center"/>
        <w:rPr>
          <w:rFonts w:ascii="仿宋_GB2312" w:eastAsia="仿宋_GB2312" w:hAnsi="仿宋_GB2312" w:cs="仿宋_GB2312" w:hint="default"/>
          <w:i w:val="0"/>
          <w:color w:val="000000"/>
          <w:kern w:val="0"/>
          <w:sz w:val="21"/>
          <w:szCs w:val="21"/>
          <w:u w:val="none"/>
          <w:lang w:eastAsia="zh-CN" w:bidi="ar"/>
        </w:rPr>
      </w:pPr>
      <w:r>
        <w:rPr>
          <w:rFonts w:ascii="仿宋_GB2312" w:eastAsia="仿宋_GB2312" w:hAnsi="仿宋_GB2312" w:cs="仿宋_GB2312" w:hint="default"/>
          <w:i w:val="0"/>
          <w:color w:val="000000"/>
          <w:kern w:val="0"/>
          <w:sz w:val="21"/>
          <w:szCs w:val="21"/>
          <w:u w:val="none"/>
          <w:lang w:eastAsia="zh-CN" w:bidi="ar"/>
        </w:rPr>
        <w:t xml:space="preserve"> 填表人：                                       联系电话：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840" w:hanging="420" w:leftChars="0" w:hangingChars="200"/>
        <w:jc w:val="left"/>
        <w:textAlignment w:val="center"/>
        <w:rPr>
          <w:rFonts w:ascii="仿宋_GB2312" w:eastAsia="仿宋_GB2312" w:hAnsi="仿宋_GB2312" w:cs="仿宋_GB2312" w:hint="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420" w:leftChars="100" w:hangingChars="200"/>
        <w:jc w:val="left"/>
        <w:textAlignment w:val="center"/>
        <w:rPr>
          <w:rFonts w:ascii="仿宋_GB2312" w:eastAsia="仿宋_GB2312" w:hAnsi="仿宋_GB2312" w:cs="仿宋_GB2312" w:hint="default"/>
          <w:i w:val="0"/>
          <w:color w:val="000000"/>
          <w:kern w:val="0"/>
          <w:sz w:val="21"/>
          <w:szCs w:val="21"/>
          <w:u w:val="none"/>
          <w:lang w:eastAsia="zh-CN" w:bidi="ar"/>
        </w:rPr>
      </w:pPr>
      <w:r>
        <w:rPr>
          <w:rFonts w:ascii="仿宋_GB2312" w:eastAsia="仿宋_GB2312" w:hAnsi="仿宋_GB2312" w:cs="仿宋_GB2312" w:hint="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注：</w:t>
      </w:r>
      <w:r>
        <w:rPr>
          <w:rFonts w:ascii="仿宋_GB2312" w:eastAsia="仿宋_GB2312" w:hAnsi="仿宋_GB2312" w:cs="仿宋_GB2312" w:hint="default"/>
          <w:i w:val="0"/>
          <w:color w:val="000000"/>
          <w:kern w:val="0"/>
          <w:sz w:val="21"/>
          <w:szCs w:val="21"/>
          <w:u w:val="none"/>
          <w:lang w:eastAsia="zh-CN" w:bidi="ar"/>
        </w:rPr>
        <w:t>1.本表所列三级科目、四级科目对照《</w:t>
      </w:r>
      <w:r>
        <w:rPr>
          <w:rFonts w:ascii="仿宋_GB2312" w:eastAsia="仿宋_GB2312" w:hAnsi="黑体" w:hint="eastAsia"/>
          <w:szCs w:val="32"/>
        </w:rPr>
        <w:t>财政部 住房城乡建设部 工业和信息化部 公安部 交通运输部 水利部关于进一步加强市政基础设施政府会计核算的通知》（财会〔2022〕38号</w:t>
      </w:r>
      <w:r>
        <w:rPr>
          <w:rFonts w:ascii="仿宋_GB2312" w:eastAsia="仿宋_GB2312" w:hAnsi="仿宋_GB2312" w:cs="仿宋_GB2312" w:hint="default"/>
          <w:i w:val="0"/>
          <w:color w:val="000000"/>
          <w:kern w:val="0"/>
          <w:sz w:val="21"/>
          <w:szCs w:val="21"/>
          <w:u w:val="none"/>
          <w:lang w:eastAsia="zh-CN" w:bidi="ar"/>
        </w:rPr>
        <w:t>）附件2的明细科目填列。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20" w:firstLine="210" w:leftChars="200" w:firstLineChars="100"/>
        <w:jc w:val="left"/>
        <w:textAlignment w:val="center"/>
        <w:rPr>
          <w:rFonts w:ascii="仿宋_GB2312" w:eastAsia="仿宋_GB2312" w:hAnsi="仿宋_GB2312" w:cs="仿宋_GB2312" w:hint="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ascii="仿宋_GB2312" w:eastAsia="仿宋_GB2312" w:hAnsi="仿宋_GB2312" w:cs="仿宋_GB2312" w:hint="default"/>
          <w:i w:val="0"/>
          <w:color w:val="000000"/>
          <w:kern w:val="0"/>
          <w:sz w:val="21"/>
          <w:szCs w:val="21"/>
          <w:u w:val="none"/>
          <w:lang w:eastAsia="zh-CN" w:bidi="ar"/>
        </w:rPr>
        <w:t>2.</w:t>
      </w:r>
      <w:r>
        <w:rPr>
          <w:rFonts w:ascii="仿宋_GB2312" w:eastAsia="仿宋_GB2312" w:hAnsi="仿宋_GB2312" w:cs="仿宋_GB2312" w:hint="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本表填列截至2023年12月31日的市政基础设施入账情况。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706" w:hanging="76" w:leftChars="300" w:hangingChars="36"/>
        <w:jc w:val="left"/>
        <w:textAlignment w:val="center"/>
        <w:rPr>
          <w:rFonts w:ascii="仿宋_GB2312" w:eastAsia="仿宋_GB2312" w:hAnsi="仿宋_GB2312" w:cs="仿宋_GB2312" w:hint="default"/>
          <w:i w:val="0"/>
          <w:color w:val="000000"/>
          <w:kern w:val="0"/>
          <w:sz w:val="21"/>
          <w:szCs w:val="21"/>
          <w:u w:val="none"/>
          <w:lang w:eastAsia="zh-CN" w:bidi="ar"/>
        </w:rPr>
        <w:sectPr>
          <w:type w:val="nextPage"/>
          <w:pgSz w:w="16838" w:h="11906" w:orient="landscape"/>
          <w:pgMar w:top="1134" w:right="1417" w:bottom="1134" w:left="1417" w:header="851" w:footer="1304" w:gutter="0"/>
          <w:pgNumType w:fmt="numberInDash"/>
          <w:cols w:space="720"/>
          <w:rtlGutter w:val="0"/>
          <w:docGrid w:type="lines" w:linePitch="312" w:charSpace="0"/>
        </w:sectPr>
      </w:pPr>
      <w:r>
        <w:rPr>
          <w:rFonts w:ascii="仿宋_GB2312" w:eastAsia="仿宋_GB2312" w:hAnsi="仿宋_GB2312" w:cs="仿宋_GB2312" w:hint="default"/>
          <w:i w:val="0"/>
          <w:color w:val="000000"/>
          <w:kern w:val="0"/>
          <w:sz w:val="21"/>
          <w:szCs w:val="21"/>
          <w:u w:val="none"/>
          <w:lang w:eastAsia="zh-CN" w:bidi="ar"/>
        </w:rPr>
        <w:t>3.</w:t>
      </w:r>
      <w:r>
        <w:rPr>
          <w:rFonts w:ascii="仿宋_GB2312" w:eastAsia="仿宋_GB2312" w:hAnsi="仿宋_GB2312" w:cs="仿宋_GB2312" w:hint="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入账价值确定依据为：竣工决算金额、工程结算审核金额、工程结算金额、工程合同造价金额、工程设计预算金额、工程概算金额、资产评估金额、重置成本等</w:t>
      </w:r>
      <w:r>
        <w:rPr>
          <w:rFonts w:ascii="仿宋_GB2312" w:eastAsia="仿宋_GB2312" w:hAnsi="仿宋_GB2312" w:cs="仿宋_GB2312" w:hint="default"/>
          <w:i w:val="0"/>
          <w:color w:val="000000"/>
          <w:kern w:val="0"/>
          <w:sz w:val="21"/>
          <w:szCs w:val="21"/>
          <w:u w:val="none"/>
          <w:lang w:eastAsia="zh-CN"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 New Roman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revisionView w:comments="1" w:formatting="1" w:inkAnnotations="1" w:insDel="1"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9DFF0320"/>
    <w:rsid w:val="B5ED19FA"/>
    <w:rsid w:val="E35F2BE4"/>
    <w:rsid w:val="FA3DC99A"/>
    <w:rsid w:val="FE7E3041"/>
    <w:rsid w:val="FFFAE1DD"/>
    <w:rsid w:val="3EAB0813"/>
    <w:rsid w:val="5DDCE449"/>
    <w:rsid w:val="5F2FDBB1"/>
    <w:rsid w:val="78FF4ABE"/>
    <w:rsid w:val="7F7FFB8C"/>
    <w:rsid w:val="7FFFBC2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157260000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施海平</cp:lastModifiedBy>
  <cp:revision>0</cp:revision>
  <dcterms:created xsi:type="dcterms:W3CDTF">2014-10-31T20:08:00Z</dcterms:created>
  <dcterms:modified xsi:type="dcterms:W3CDTF">2023-09-28T15:52:24Z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