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江门市永鼎五金制品有限公司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w:t>
      </w:r>
      <w:r>
        <w:rPr>
          <w:rFonts w:hint="eastAsia" w:ascii="仿宋_GB2312"/>
          <w:szCs w:val="32"/>
          <w:lang w:val="en-US" w:eastAsia="zh-CN"/>
        </w:rPr>
        <w:t>705MA52TEP89P</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双水镇梅冈村西咀围（厂房A、B、C、D，厂房一、二，宿舍）</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陈杰堂</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lang w:val="en-US" w:eastAsia="zh-CN"/>
        </w:rPr>
        <w:t>江门市永鼎五金制品有限公司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2022年7月、8月</w:t>
      </w:r>
      <w:r>
        <w:rPr>
          <w:rFonts w:hint="eastAsia"/>
          <w:szCs w:val="32"/>
        </w:rPr>
        <w:t>，我局执法人员对</w:t>
      </w:r>
      <w:r>
        <w:rPr>
          <w:rFonts w:hint="eastAsia" w:ascii="仿宋_GB2312"/>
          <w:szCs w:val="32"/>
          <w:lang w:val="en-US" w:eastAsia="zh-CN"/>
        </w:rPr>
        <w:t>江门市永鼎五金制品有限公司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单位废水标准排放口排放的水污染物浓度超出应执行的《电镀污染物排放标准》（DB44/1597-2015）中“表2珠三角”的相关限值要求。其中CODcr浓度为119mg/L，超标1.38倍。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w:t>
      </w:r>
      <w:r>
        <w:rPr>
          <w:rFonts w:hint="eastAsia" w:ascii="仿宋_GB2312"/>
          <w:szCs w:val="32"/>
          <w:lang w:val="en-US" w:eastAsia="zh-CN"/>
        </w:rPr>
        <w:t>新会分局</w:t>
      </w:r>
      <w:r>
        <w:rPr>
          <w:rFonts w:hint="eastAsia" w:ascii="仿宋_GB2312"/>
          <w:szCs w:val="32"/>
        </w:rPr>
        <w:t>现场检查（勘察）</w:t>
      </w:r>
      <w:r>
        <w:rPr>
          <w:rFonts w:hint="eastAsia" w:ascii="仿宋_GB2312"/>
          <w:szCs w:val="32"/>
          <w:lang w:val="en-US" w:eastAsia="zh-CN"/>
        </w:rPr>
        <w:t>笔</w:t>
      </w:r>
      <w:r>
        <w:rPr>
          <w:rFonts w:hint="eastAsia" w:ascii="仿宋_GB2312"/>
          <w:szCs w:val="32"/>
        </w:rPr>
        <w:t>录》、《江门市生态环境局调查询问笔录》，江门市新会区环境监测站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07260040</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33</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2.7.1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12</w:t>
      </w:r>
      <w:r>
        <w:rPr>
          <w:rFonts w:hint="eastAsia" w:ascii="仿宋_GB2312" w:eastAsia="仿宋_GB2312"/>
          <w:b/>
          <w:lang w:eastAsia="zh-CN"/>
        </w:rPr>
        <w:t>万元（大写：拾贰</w:t>
      </w:r>
      <w:r>
        <w:rPr>
          <w:rFonts w:hint="eastAsia" w:ascii="仿宋_GB2312"/>
          <w:b/>
          <w:lang w:val="en-US" w:eastAsia="zh-CN"/>
        </w:rPr>
        <w:t>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w:t>
      </w:r>
      <w:bookmarkStart w:id="0" w:name="_GoBack"/>
      <w:bookmarkEnd w:id="0"/>
      <w:r>
        <w:rPr>
          <w:rFonts w:hint="eastAsia" w:ascii="仿宋_GB2312" w:hAnsi="宋体"/>
          <w:kern w:val="0"/>
        </w:rPr>
        <w:t>》第九十七条等有关规定申请人民法院强制执行。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双水</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1330</Words>
  <Characters>1426</Characters>
  <Lines>11</Lines>
  <Paragraphs>3</Paragraphs>
  <TotalTime>0</TotalTime>
  <ScaleCrop>false</ScaleCrop>
  <LinksUpToDate>false</LinksUpToDate>
  <CharactersWithSpaces>1488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2022-09-05T03:40:25Z</cp:lastPrinted>
  <dcterms:modified xsi:type="dcterms:W3CDTF">2022-09-05T03:40:38Z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8EB59C0B98F64C4A8E3B6D8088081474</vt:lpwstr>
  </property>
  <property fmtid="{D5CDD505-2E9C-101B-9397-08002B2CF9AE}" pid="4" name="KSOSaveFontToCloudKey">
    <vt:lpwstr>0_btnclosed</vt:lpwstr>
  </property>
</Properties>
</file>