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_GB2312" w:hAnsi="宋体" w:eastAsia="仿宋_GB2312" w:cs="SimSun-Identity-H"/>
          <w:color w:val="000000"/>
          <w:kern w:val="0"/>
          <w:sz w:val="32"/>
          <w:szCs w:val="32"/>
        </w:rPr>
      </w:pPr>
      <w:bookmarkStart w:id="0" w:name="_GoBack"/>
      <w:bookmarkEnd w:id="0"/>
      <w:r>
        <w:rPr>
          <w:rFonts w:hint="eastAsia" w:ascii="仿宋_GB2312" w:hAnsi="宋体" w:eastAsia="仿宋_GB2312" w:cs="SimSun-Identity-H"/>
          <w:color w:val="000000"/>
          <w:kern w:val="0"/>
          <w:sz w:val="32"/>
          <w:szCs w:val="32"/>
        </w:rPr>
        <w:t xml:space="preserve">附件：   </w:t>
      </w:r>
    </w:p>
    <w:p>
      <w:pPr>
        <w:spacing w:line="360" w:lineRule="auto"/>
        <w:rPr>
          <w:rFonts w:cs="SimSun-Identity-H" w:asciiTheme="minorEastAsia" w:hAnsiTheme="minorEastAsia"/>
          <w:color w:val="000000"/>
          <w:kern w:val="0"/>
          <w:sz w:val="44"/>
          <w:szCs w:val="44"/>
        </w:rPr>
      </w:pPr>
      <w:r>
        <w:rPr>
          <w:rFonts w:hint="eastAsia" w:ascii="仿宋_GB2312" w:hAnsi="宋体" w:eastAsia="仿宋_GB2312" w:cs="SimSun-Identity-H"/>
          <w:color w:val="000000"/>
          <w:kern w:val="0"/>
          <w:sz w:val="32"/>
          <w:szCs w:val="32"/>
        </w:rPr>
        <w:t xml:space="preserve">        </w:t>
      </w:r>
      <w:r>
        <w:rPr>
          <w:rFonts w:hint="eastAsia" w:cs="SimSun-Identity-H" w:asciiTheme="minorEastAsia" w:hAnsiTheme="minorEastAsia"/>
          <w:color w:val="000000"/>
          <w:kern w:val="0"/>
          <w:sz w:val="44"/>
          <w:szCs w:val="44"/>
        </w:rPr>
        <w:t xml:space="preserve"> </w:t>
      </w:r>
    </w:p>
    <w:p>
      <w:pPr>
        <w:jc w:val="center"/>
        <w:rPr>
          <w:rFonts w:cs="SimSun-Identity-H" w:asciiTheme="minorEastAsia" w:hAnsiTheme="minorEastAsia"/>
          <w:color w:val="000000"/>
          <w:kern w:val="0"/>
          <w:sz w:val="44"/>
          <w:szCs w:val="44"/>
        </w:rPr>
      </w:pPr>
      <w:r>
        <w:rPr>
          <w:rFonts w:hint="eastAsia" w:asciiTheme="minorEastAsia" w:hAnsiTheme="minorEastAsia"/>
          <w:sz w:val="44"/>
          <w:szCs w:val="44"/>
        </w:rPr>
        <w:t>202</w:t>
      </w:r>
      <w:r>
        <w:rPr>
          <w:rFonts w:hint="eastAsia" w:asciiTheme="minorEastAsia" w:hAnsiTheme="minorEastAsia"/>
          <w:sz w:val="44"/>
          <w:szCs w:val="44"/>
          <w:lang w:val="en-US" w:eastAsia="zh-CN"/>
        </w:rPr>
        <w:t>2</w:t>
      </w:r>
      <w:r>
        <w:rPr>
          <w:rFonts w:hint="eastAsia" w:asciiTheme="minorEastAsia" w:hAnsiTheme="minorEastAsia"/>
          <w:sz w:val="44"/>
          <w:szCs w:val="44"/>
        </w:rPr>
        <w:t>年房地产市场运行监测分析</w:t>
      </w:r>
      <w:r>
        <w:rPr>
          <w:rFonts w:hint="eastAsia" w:cs="SimSun-Identity-H" w:asciiTheme="minorEastAsia" w:hAnsiTheme="minorEastAsia"/>
          <w:color w:val="000000"/>
          <w:kern w:val="0"/>
          <w:sz w:val="44"/>
          <w:szCs w:val="44"/>
        </w:rPr>
        <w:t>服务项目要求</w:t>
      </w:r>
    </w:p>
    <w:p>
      <w:pPr>
        <w:spacing w:line="360" w:lineRule="auto"/>
        <w:rPr>
          <w:rFonts w:ascii="仿宋_GB2312" w:hAnsi="宋体" w:eastAsia="仿宋_GB2312" w:cs="SimSun-Identity-H"/>
          <w:color w:val="000000"/>
          <w:kern w:val="0"/>
          <w:sz w:val="32"/>
          <w:szCs w:val="32"/>
        </w:rPr>
      </w:pPr>
    </w:p>
    <w:p>
      <w:pPr>
        <w:pStyle w:val="12"/>
        <w:numPr>
          <w:ilvl w:val="0"/>
          <w:numId w:val="1"/>
        </w:numPr>
        <w:spacing w:line="360" w:lineRule="auto"/>
        <w:ind w:firstLineChars="0"/>
        <w:rPr>
          <w:rFonts w:ascii="仿宋_GB2312" w:hAnsi="黑体" w:eastAsia="仿宋_GB2312"/>
          <w:b/>
          <w:sz w:val="32"/>
          <w:szCs w:val="32"/>
        </w:rPr>
      </w:pPr>
      <w:r>
        <w:rPr>
          <w:rFonts w:hint="eastAsia" w:ascii="仿宋_GB2312" w:hAnsi="黑体" w:eastAsia="仿宋_GB2312"/>
          <w:b/>
          <w:sz w:val="32"/>
          <w:szCs w:val="32"/>
        </w:rPr>
        <w:t>项目背景</w:t>
      </w:r>
    </w:p>
    <w:p>
      <w:pPr>
        <w:spacing w:line="360" w:lineRule="auto"/>
        <w:ind w:firstLine="640" w:firstLineChars="200"/>
        <w:rPr>
          <w:rFonts w:ascii="仿宋_GB2312" w:eastAsia="仿宋_GB2312"/>
          <w:color w:val="000000"/>
          <w:sz w:val="32"/>
          <w:szCs w:val="32"/>
        </w:rPr>
      </w:pPr>
      <w:r>
        <w:rPr>
          <w:rFonts w:hint="eastAsia" w:ascii="仿宋_GB2312" w:hAnsi="仿宋" w:eastAsia="仿宋_GB2312"/>
          <w:color w:val="222222"/>
          <w:sz w:val="32"/>
          <w:szCs w:val="32"/>
        </w:rPr>
        <w:t>为准确把握市场运行情况，提高房地产市场的监测分析工作水平，为落实国家因城施策、精准调控的要求提供有力支持，保证我市房地产市场的平稳健康发展</w:t>
      </w:r>
      <w:r>
        <w:rPr>
          <w:rFonts w:hint="eastAsia" w:ascii="仿宋_GB2312" w:hAnsi="仿宋" w:eastAsia="仿宋_GB2312"/>
          <w:sz w:val="32"/>
          <w:szCs w:val="32"/>
        </w:rPr>
        <w:t>，我中心计划借助</w:t>
      </w:r>
      <w:r>
        <w:rPr>
          <w:rFonts w:hint="eastAsia" w:ascii="仿宋_GB2312" w:hAnsi="仿宋" w:eastAsia="仿宋_GB2312" w:cs="宋体"/>
          <w:bCs/>
          <w:kern w:val="0"/>
          <w:sz w:val="32"/>
          <w:szCs w:val="32"/>
        </w:rPr>
        <w:t>熟悉本地房地产业，有丰富相关经验的专业机构协助完成该工作。</w:t>
      </w:r>
    </w:p>
    <w:p>
      <w:pPr>
        <w:pStyle w:val="12"/>
        <w:numPr>
          <w:ilvl w:val="0"/>
          <w:numId w:val="1"/>
        </w:numPr>
        <w:spacing w:line="360" w:lineRule="auto"/>
        <w:ind w:firstLineChars="0"/>
        <w:rPr>
          <w:rFonts w:ascii="仿宋_GB2312" w:eastAsia="仿宋_GB2312"/>
          <w:color w:val="000000"/>
          <w:sz w:val="32"/>
          <w:szCs w:val="32"/>
        </w:rPr>
      </w:pPr>
      <w:r>
        <w:rPr>
          <w:rFonts w:hint="eastAsia" w:ascii="仿宋_GB2312" w:hAnsi="宋体" w:eastAsia="仿宋_GB2312" w:cs="SimSun-Identity-H"/>
          <w:b/>
          <w:color w:val="000000"/>
          <w:kern w:val="0"/>
          <w:sz w:val="32"/>
          <w:szCs w:val="32"/>
        </w:rPr>
        <w:t>项目服务时间</w:t>
      </w:r>
    </w:p>
    <w:p>
      <w:pPr>
        <w:spacing w:line="360" w:lineRule="auto"/>
        <w:ind w:left="643"/>
        <w:rPr>
          <w:rFonts w:ascii="仿宋_GB2312" w:eastAsia="仿宋_GB2312"/>
          <w:color w:val="000000"/>
          <w:sz w:val="32"/>
          <w:szCs w:val="32"/>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年4月1日至202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年3月31日。</w:t>
      </w:r>
    </w:p>
    <w:p>
      <w:pPr>
        <w:pStyle w:val="12"/>
        <w:numPr>
          <w:ilvl w:val="0"/>
          <w:numId w:val="1"/>
        </w:numPr>
        <w:spacing w:line="360" w:lineRule="auto"/>
        <w:ind w:firstLineChars="0"/>
        <w:rPr>
          <w:rFonts w:ascii="仿宋_GB2312" w:hAnsi="宋体" w:eastAsia="仿宋_GB2312" w:cs="SimSun-Identity-H"/>
          <w:b/>
          <w:color w:val="auto"/>
          <w:kern w:val="0"/>
          <w:sz w:val="32"/>
          <w:szCs w:val="32"/>
        </w:rPr>
      </w:pPr>
      <w:r>
        <w:rPr>
          <w:rFonts w:hint="eastAsia" w:ascii="仿宋_GB2312" w:hAnsi="宋体" w:eastAsia="仿宋_GB2312" w:cs="SimSun-Identity-H"/>
          <w:b/>
          <w:color w:val="auto"/>
          <w:kern w:val="0"/>
          <w:sz w:val="32"/>
          <w:szCs w:val="32"/>
        </w:rPr>
        <w:t>项目预算及支付方式</w:t>
      </w:r>
    </w:p>
    <w:p>
      <w:pPr>
        <w:numPr>
          <w:ilvl w:val="0"/>
          <w:numId w:val="2"/>
        </w:num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项目预算为人民币</w:t>
      </w:r>
      <w:r>
        <w:rPr>
          <w:rFonts w:hint="eastAsia" w:ascii="仿宋_GB2312" w:eastAsia="仿宋_GB2312"/>
          <w:color w:val="auto"/>
          <w:sz w:val="32"/>
          <w:szCs w:val="32"/>
          <w:lang w:val="en-US" w:eastAsia="zh-CN"/>
        </w:rPr>
        <w:t>45</w:t>
      </w:r>
      <w:r>
        <w:rPr>
          <w:rFonts w:hint="eastAsia" w:ascii="仿宋_GB2312" w:eastAsia="仿宋_GB2312"/>
          <w:color w:val="auto"/>
          <w:sz w:val="32"/>
          <w:szCs w:val="32"/>
        </w:rPr>
        <w:t>万元整。</w:t>
      </w:r>
    </w:p>
    <w:p>
      <w:pPr>
        <w:numPr>
          <w:ilvl w:val="0"/>
          <w:numId w:val="2"/>
        </w:numPr>
        <w:ind w:firstLine="640" w:firstLineChars="200"/>
        <w:rPr>
          <w:rFonts w:ascii="仿宋_GB2312" w:eastAsia="仿宋_GB2312"/>
          <w:color w:val="auto"/>
          <w:sz w:val="32"/>
          <w:szCs w:val="32"/>
        </w:rPr>
      </w:pPr>
      <w:r>
        <w:rPr>
          <w:rFonts w:hint="eastAsia" w:ascii="仿宋_GB2312" w:eastAsia="仿宋_GB2312"/>
          <w:color w:val="auto"/>
          <w:sz w:val="32"/>
          <w:szCs w:val="32"/>
        </w:rPr>
        <w:t>支付方式：（1）合同签订后，采购人在10个工作日内按支付合同款项总额的</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0%额度，向财政部门提交申请拨款的支付材料。（2）在完成全市房地产市场运行分析半年报工作后，采购人在10个工作日内按支付合同款项总额的9</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额度，向财政部门提交申请拨款的支付材料；（3）项目全部完成并验收合格后，采购人在10个工作日内按支付合同款项总额的100%额度，向财政部门提交申请拨款的支付材料；（4）本项目的付款时间是指采购人向政府采购支付部门提出付款申请的时间，不含其审核和支付的时间。</w:t>
      </w:r>
    </w:p>
    <w:p>
      <w:pPr>
        <w:spacing w:line="360" w:lineRule="auto"/>
        <w:ind w:left="720"/>
        <w:rPr>
          <w:rFonts w:ascii="仿宋_GB2312" w:hAnsi="宋体" w:eastAsia="仿宋_GB2312" w:cs="SimSun-Identity-H"/>
          <w:b/>
          <w:color w:val="000000"/>
          <w:kern w:val="0"/>
          <w:sz w:val="32"/>
          <w:szCs w:val="32"/>
        </w:rPr>
      </w:pPr>
      <w:r>
        <w:rPr>
          <w:rFonts w:hint="eastAsia" w:ascii="仿宋_GB2312" w:hAnsi="宋体" w:eastAsia="仿宋_GB2312" w:cs="SimSun-Identity-H"/>
          <w:b/>
          <w:color w:val="000000"/>
          <w:kern w:val="0"/>
          <w:sz w:val="32"/>
          <w:szCs w:val="32"/>
        </w:rPr>
        <w:t>四、 项目服务内容</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1、每周收集全市及各</w:t>
      </w:r>
      <w:r>
        <w:rPr>
          <w:rFonts w:hint="eastAsia" w:ascii="仿宋_GB2312" w:eastAsia="仿宋_GB2312"/>
          <w:color w:val="auto"/>
          <w:sz w:val="32"/>
          <w:szCs w:val="32"/>
          <w:lang w:val="en-US" w:eastAsia="zh-CN"/>
        </w:rPr>
        <w:t>县（市、</w:t>
      </w:r>
      <w:r>
        <w:rPr>
          <w:rFonts w:hint="eastAsia" w:ascii="仿宋_GB2312" w:eastAsia="仿宋_GB2312"/>
          <w:color w:val="auto"/>
          <w:sz w:val="32"/>
          <w:szCs w:val="32"/>
        </w:rPr>
        <w:t>区）</w:t>
      </w:r>
      <w:r>
        <w:rPr>
          <w:rFonts w:hint="eastAsia" w:ascii="仿宋_GB2312" w:eastAsia="仿宋_GB2312"/>
          <w:color w:val="auto"/>
          <w:sz w:val="32"/>
          <w:szCs w:val="32"/>
          <w:lang w:val="en-US" w:eastAsia="zh-CN"/>
        </w:rPr>
        <w:t>土地出让、</w:t>
      </w:r>
      <w:r>
        <w:rPr>
          <w:rFonts w:hint="eastAsia" w:ascii="仿宋_GB2312" w:eastAsia="仿宋_GB2312"/>
          <w:color w:val="auto"/>
          <w:sz w:val="32"/>
          <w:szCs w:val="32"/>
        </w:rPr>
        <w:t>房屋总体供应和销售情况、主要项目（全市不少于4</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个</w:t>
      </w:r>
      <w:r>
        <w:rPr>
          <w:rFonts w:hint="eastAsia" w:ascii="仿宋_GB2312" w:eastAsia="仿宋_GB2312"/>
          <w:color w:val="auto"/>
          <w:sz w:val="32"/>
          <w:szCs w:val="32"/>
          <w:lang w:eastAsia="zh-CN"/>
        </w:rPr>
        <w:t>，各</w:t>
      </w:r>
      <w:r>
        <w:rPr>
          <w:rFonts w:hint="eastAsia" w:ascii="仿宋_GB2312" w:eastAsia="仿宋_GB2312"/>
          <w:color w:val="auto"/>
          <w:sz w:val="32"/>
          <w:szCs w:val="32"/>
          <w:lang w:val="en-US" w:eastAsia="zh-CN"/>
        </w:rPr>
        <w:t>县（市、</w:t>
      </w:r>
      <w:r>
        <w:rPr>
          <w:rFonts w:hint="eastAsia" w:ascii="仿宋_GB2312" w:eastAsia="仿宋_GB2312"/>
          <w:color w:val="auto"/>
          <w:sz w:val="32"/>
          <w:szCs w:val="32"/>
        </w:rPr>
        <w:t>区）</w:t>
      </w:r>
      <w:r>
        <w:rPr>
          <w:rFonts w:hint="eastAsia" w:ascii="仿宋_GB2312" w:eastAsia="仿宋_GB2312"/>
          <w:color w:val="auto"/>
          <w:sz w:val="32"/>
          <w:szCs w:val="32"/>
          <w:lang w:val="en-US" w:eastAsia="zh-CN"/>
        </w:rPr>
        <w:t>分别不少于6个</w:t>
      </w:r>
      <w:r>
        <w:rPr>
          <w:rFonts w:hint="eastAsia" w:ascii="仿宋_GB2312" w:eastAsia="仿宋_GB2312"/>
          <w:color w:val="auto"/>
          <w:sz w:val="32"/>
          <w:szCs w:val="32"/>
        </w:rPr>
        <w:t>）销售情况、新开盘项目销售情况等，并对市场特点和变化趋势等形成进行初步分析。</w:t>
      </w:r>
      <w:r>
        <w:rPr>
          <w:rFonts w:hint="eastAsia" w:ascii="仿宋_GB2312" w:hAnsi="宋体" w:eastAsia="仿宋_GB2312" w:cs="SimSun-Identity-H"/>
          <w:color w:val="auto"/>
          <w:kern w:val="0"/>
          <w:sz w:val="32"/>
          <w:szCs w:val="32"/>
        </w:rPr>
        <w:t>每周一下午前报送。</w:t>
      </w:r>
    </w:p>
    <w:p>
      <w:pPr>
        <w:ind w:firstLine="640" w:firstLineChars="200"/>
        <w:rPr>
          <w:rFonts w:ascii="仿宋_GB2312" w:hAnsi="宋体" w:eastAsia="仿宋_GB2312"/>
          <w:color w:val="auto"/>
          <w:sz w:val="32"/>
          <w:szCs w:val="32"/>
        </w:rPr>
      </w:pPr>
      <w:r>
        <w:rPr>
          <w:rFonts w:hint="eastAsia" w:ascii="仿宋_GB2312" w:eastAsia="仿宋_GB2312"/>
          <w:color w:val="auto"/>
          <w:sz w:val="32"/>
          <w:szCs w:val="32"/>
        </w:rPr>
        <w:t>2、</w:t>
      </w:r>
      <w:r>
        <w:rPr>
          <w:rFonts w:hint="eastAsia" w:ascii="仿宋_GB2312" w:hAnsi="宋体" w:eastAsia="仿宋_GB2312"/>
          <w:color w:val="auto"/>
          <w:sz w:val="32"/>
          <w:szCs w:val="32"/>
        </w:rPr>
        <w:t>完成全市房地产市场运行分析月报、季报、半年报、年报的编辑、排版和印刷工作。每月20日前（季报、半年报、年报25日前）完成，彩色A4纸，印刷数量不少于</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0本。</w:t>
      </w:r>
    </w:p>
    <w:p>
      <w:pPr>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3、每季度进行一次市场潜在供应量调查</w:t>
      </w:r>
      <w:r>
        <w:rPr>
          <w:rFonts w:hint="eastAsia" w:ascii="仿宋_GB2312" w:hAnsi="宋体" w:eastAsia="仿宋_GB2312"/>
          <w:color w:val="auto"/>
          <w:sz w:val="32"/>
          <w:szCs w:val="32"/>
          <w:lang w:eastAsia="zh-CN"/>
        </w:rPr>
        <w:t>、房企调查（包括但不限于经营情况、拿地意愿、市场预判和政策建议等，不少于</w:t>
      </w:r>
      <w:r>
        <w:rPr>
          <w:rFonts w:hint="eastAsia" w:ascii="仿宋_GB2312" w:hAnsi="宋体" w:eastAsia="仿宋_GB2312"/>
          <w:color w:val="auto"/>
          <w:sz w:val="32"/>
          <w:szCs w:val="32"/>
          <w:lang w:val="en-US" w:eastAsia="zh-CN"/>
        </w:rPr>
        <w:t>20个企业</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和市民购房意愿调查（有效问卷数量不少于</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000份），并根据指定题目完成1篇专题调研报告。</w:t>
      </w:r>
    </w:p>
    <w:p>
      <w:pPr>
        <w:ind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4、协助完成各类历史数据收集整理，借助软件或系统，建立</w:t>
      </w:r>
      <w:r>
        <w:rPr>
          <w:rFonts w:hint="eastAsia" w:ascii="仿宋_GB2312" w:hAnsi="宋体" w:eastAsia="仿宋_GB2312"/>
          <w:color w:val="auto"/>
          <w:sz w:val="32"/>
          <w:szCs w:val="32"/>
          <w:lang w:eastAsia="zh-CN"/>
        </w:rPr>
        <w:t>全市</w:t>
      </w:r>
      <w:r>
        <w:rPr>
          <w:rFonts w:hint="eastAsia" w:ascii="仿宋_GB2312" w:hAnsi="宋体" w:eastAsia="仿宋_GB2312"/>
          <w:color w:val="auto"/>
          <w:sz w:val="32"/>
          <w:szCs w:val="32"/>
        </w:rPr>
        <w:t>房地产项目数据库，</w:t>
      </w:r>
      <w:r>
        <w:rPr>
          <w:rFonts w:hint="eastAsia" w:ascii="仿宋_GB2312" w:hAnsi="宋体" w:eastAsia="仿宋_GB2312" w:cs="宋体"/>
          <w:color w:val="auto"/>
          <w:sz w:val="32"/>
          <w:szCs w:val="32"/>
        </w:rPr>
        <w:t>对房地产项目的开发销售全周期进行监测</w:t>
      </w:r>
      <w:r>
        <w:rPr>
          <w:rFonts w:hint="eastAsia" w:ascii="仿宋_GB2312" w:hAnsi="宋体" w:eastAsia="仿宋_GB2312" w:cs="宋体"/>
          <w:color w:val="auto"/>
          <w:sz w:val="32"/>
          <w:szCs w:val="32"/>
          <w:lang w:eastAsia="zh-CN"/>
        </w:rPr>
        <w:t>。</w:t>
      </w:r>
    </w:p>
    <w:p>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5、每月通过主要</w:t>
      </w:r>
      <w:r>
        <w:rPr>
          <w:rFonts w:hint="eastAsia" w:ascii="仿宋_GB2312" w:hAnsi="宋体" w:eastAsia="仿宋_GB2312"/>
          <w:color w:val="auto"/>
          <w:sz w:val="32"/>
          <w:szCs w:val="32"/>
          <w:lang w:eastAsia="zh-CN"/>
        </w:rPr>
        <w:t>房地产经纪公司</w:t>
      </w:r>
      <w:r>
        <w:rPr>
          <w:rFonts w:hint="eastAsia" w:ascii="仿宋_GB2312" w:hAnsi="宋体" w:eastAsia="仿宋_GB2312"/>
          <w:color w:val="auto"/>
          <w:sz w:val="32"/>
          <w:szCs w:val="32"/>
        </w:rPr>
        <w:t>，收集和监测市区各重点地段各类型二手房屋交易的挂牌量、真实租售成交量和成交价格、市场规模等数据，形成报告，每月10日前完成。</w:t>
      </w:r>
    </w:p>
    <w:p>
      <w:pPr>
        <w:ind w:firstLine="640" w:firstLineChars="20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6、每月选取一个珠三角周边城市进行市场和政策调研。调研时间不少于1天，调研项目不少于3个，形成调研报告。</w:t>
      </w:r>
    </w:p>
    <w:p>
      <w:pPr>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7、选派固定一名熟悉业务的工作人员到</w:t>
      </w:r>
      <w:r>
        <w:rPr>
          <w:rFonts w:hint="eastAsia" w:ascii="仿宋_GB2312" w:hAnsi="仿宋" w:eastAsia="仿宋_GB2312"/>
          <w:color w:val="auto"/>
          <w:sz w:val="32"/>
          <w:szCs w:val="32"/>
        </w:rPr>
        <w:t>我中心</w:t>
      </w:r>
      <w:r>
        <w:rPr>
          <w:rFonts w:hint="eastAsia" w:ascii="仿宋_GB2312" w:hAnsi="宋体" w:eastAsia="仿宋_GB2312"/>
          <w:color w:val="auto"/>
          <w:sz w:val="32"/>
          <w:szCs w:val="32"/>
          <w:lang w:val="en-US" w:eastAsia="zh-CN"/>
        </w:rPr>
        <w:t>现场办公，每周不少于4个工作日，及时沟通解决工作需求。</w:t>
      </w:r>
    </w:p>
    <w:p>
      <w:pPr>
        <w:pStyle w:val="12"/>
        <w:numPr>
          <w:ilvl w:val="0"/>
          <w:numId w:val="3"/>
        </w:numPr>
        <w:spacing w:line="360" w:lineRule="auto"/>
        <w:ind w:firstLineChars="0"/>
        <w:rPr>
          <w:rFonts w:ascii="仿宋_GB2312" w:hAnsi="宋体" w:eastAsia="仿宋_GB2312" w:cs="SimSun-Identity-H"/>
          <w:b/>
          <w:color w:val="000000"/>
          <w:kern w:val="0"/>
          <w:sz w:val="32"/>
          <w:szCs w:val="32"/>
        </w:rPr>
      </w:pPr>
      <w:r>
        <w:rPr>
          <w:rFonts w:hint="eastAsia" w:ascii="仿宋_GB2312" w:hAnsi="宋体" w:eastAsia="仿宋_GB2312" w:cs="SimSun-Identity-H"/>
          <w:b/>
          <w:color w:val="000000"/>
          <w:kern w:val="0"/>
          <w:sz w:val="32"/>
          <w:szCs w:val="32"/>
        </w:rPr>
        <w:t>项目服务机构相关要求</w:t>
      </w:r>
    </w:p>
    <w:p>
      <w:pPr>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1、在江门市民政局登记备案的，</w:t>
      </w:r>
      <w:r>
        <w:rPr>
          <w:rFonts w:hint="eastAsia" w:ascii="仿宋_GB2312" w:eastAsia="仿宋_GB2312"/>
          <w:sz w:val="32"/>
          <w:szCs w:val="32"/>
        </w:rPr>
        <w:t>具备承接政府职能转移和购买服务资质的社会组织</w:t>
      </w:r>
      <w:r>
        <w:rPr>
          <w:rFonts w:hint="eastAsia" w:ascii="仿宋_GB2312" w:eastAsia="仿宋_GB2312"/>
          <w:sz w:val="32"/>
          <w:szCs w:val="32"/>
          <w:lang w:eastAsia="zh-CN"/>
        </w:rPr>
        <w:t>；</w:t>
      </w:r>
      <w:r>
        <w:rPr>
          <w:rFonts w:hint="eastAsia" w:ascii="仿宋_GB2312" w:eastAsia="仿宋_GB2312"/>
          <w:sz w:val="32"/>
          <w:szCs w:val="32"/>
        </w:rPr>
        <w:t>或</w:t>
      </w:r>
      <w:r>
        <w:rPr>
          <w:rFonts w:hint="eastAsia" w:ascii="仿宋_GB2312" w:eastAsia="仿宋_GB2312"/>
          <w:sz w:val="32"/>
          <w:szCs w:val="32"/>
          <w:lang w:eastAsia="zh-CN"/>
        </w:rPr>
        <w:t>者</w:t>
      </w:r>
      <w:r>
        <w:rPr>
          <w:rFonts w:hint="eastAsia" w:ascii="仿宋_GB2312" w:eastAsia="仿宋_GB2312"/>
          <w:sz w:val="32"/>
          <w:szCs w:val="32"/>
        </w:rPr>
        <w:t>经营范围含有技术咨询服务类</w:t>
      </w:r>
      <w:r>
        <w:rPr>
          <w:rFonts w:hint="eastAsia" w:ascii="仿宋_GB2312" w:eastAsia="仿宋_GB2312"/>
          <w:sz w:val="32"/>
          <w:szCs w:val="32"/>
          <w:lang w:eastAsia="zh-CN"/>
        </w:rPr>
        <w:t>，同时必须</w:t>
      </w:r>
      <w:r>
        <w:rPr>
          <w:rFonts w:hint="eastAsia" w:ascii="仿宋_GB2312" w:eastAsia="仿宋_GB2312"/>
          <w:sz w:val="32"/>
          <w:szCs w:val="32"/>
        </w:rPr>
        <w:t>3年内没有受到行政处罚和没有列入严重违反失信名单的企业</w:t>
      </w:r>
      <w:r>
        <w:rPr>
          <w:rFonts w:hint="eastAsia" w:ascii="仿宋_GB2312" w:eastAsia="仿宋_GB2312"/>
          <w:color w:val="000000"/>
          <w:sz w:val="32"/>
          <w:szCs w:val="32"/>
        </w:rPr>
        <w:t>。（提供证明文件）</w:t>
      </w:r>
    </w:p>
    <w:p>
      <w:pPr>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2、有独立完成</w:t>
      </w:r>
      <w:r>
        <w:rPr>
          <w:rFonts w:hint="eastAsia" w:ascii="仿宋_GB2312" w:hAnsi="宋体" w:eastAsia="仿宋_GB2312"/>
          <w:sz w:val="32"/>
          <w:szCs w:val="32"/>
        </w:rPr>
        <w:t>房地产市场分析报告的能力</w:t>
      </w:r>
      <w:r>
        <w:rPr>
          <w:rFonts w:hint="eastAsia" w:ascii="仿宋_GB2312" w:hAnsi="宋体" w:eastAsia="仿宋_GB2312"/>
          <w:sz w:val="32"/>
          <w:szCs w:val="32"/>
          <w:lang w:eastAsia="zh-CN"/>
        </w:rPr>
        <w:t>或相关工作经验</w:t>
      </w:r>
      <w:r>
        <w:rPr>
          <w:rFonts w:hint="eastAsia" w:ascii="仿宋_GB2312" w:hAnsi="宋体" w:eastAsia="仿宋_GB2312"/>
          <w:sz w:val="32"/>
          <w:szCs w:val="32"/>
        </w:rPr>
        <w:t>。</w:t>
      </w:r>
      <w:r>
        <w:rPr>
          <w:rFonts w:hint="eastAsia" w:ascii="仿宋_GB2312" w:eastAsia="仿宋_GB2312"/>
          <w:color w:val="000000"/>
          <w:sz w:val="32"/>
          <w:szCs w:val="32"/>
        </w:rPr>
        <w:t>（提供证明材料）</w:t>
      </w:r>
    </w:p>
    <w:p>
      <w:pPr>
        <w:spacing w:line="360" w:lineRule="auto"/>
        <w:ind w:firstLine="640" w:firstLineChars="200"/>
        <w:rPr>
          <w:rFonts w:ascii="仿宋_GB2312" w:eastAsia="仿宋_GB2312"/>
          <w:color w:val="000000"/>
          <w:sz w:val="32"/>
          <w:szCs w:val="32"/>
        </w:rPr>
      </w:pPr>
      <w:r>
        <w:rPr>
          <w:rFonts w:hint="eastAsia" w:ascii="仿宋_GB2312" w:hAnsi="宋体" w:eastAsia="仿宋_GB2312" w:cs="宋体"/>
          <w:sz w:val="32"/>
          <w:szCs w:val="32"/>
        </w:rPr>
        <w:t>3、工作的团队包括项目负责人、工作人员在内不少</w:t>
      </w:r>
      <w:r>
        <w:rPr>
          <w:rFonts w:hint="eastAsia" w:ascii="仿宋_GB2312" w:hAnsi="宋体" w:eastAsia="仿宋_GB2312" w:cs="宋体"/>
          <w:color w:val="auto"/>
          <w:sz w:val="32"/>
          <w:szCs w:val="32"/>
        </w:rPr>
        <w:t>于</w:t>
      </w:r>
      <w:r>
        <w:rPr>
          <w:rFonts w:hint="eastAsia" w:ascii="仿宋_GB2312" w:hAnsi="宋体" w:eastAsia="仿宋_GB2312" w:cs="宋体"/>
          <w:color w:val="auto"/>
          <w:sz w:val="32"/>
          <w:szCs w:val="32"/>
          <w:lang w:val="en-US" w:eastAsia="zh-CN"/>
        </w:rPr>
        <w:t>7</w:t>
      </w:r>
      <w:r>
        <w:rPr>
          <w:rFonts w:hint="eastAsia" w:ascii="仿宋_GB2312" w:hAnsi="宋体" w:eastAsia="仿宋_GB2312" w:cs="宋体"/>
          <w:color w:val="auto"/>
          <w:sz w:val="32"/>
          <w:szCs w:val="32"/>
        </w:rPr>
        <w:t>人</w:t>
      </w:r>
      <w:r>
        <w:rPr>
          <w:rFonts w:hint="eastAsia" w:ascii="仿宋_GB2312" w:hAnsi="宋体" w:eastAsia="仿宋_GB2312" w:cs="宋体"/>
          <w:sz w:val="32"/>
          <w:szCs w:val="32"/>
        </w:rPr>
        <w:t>，供应服务商须在投报文件中确定各项工作的负责人，并说明主要参与人员的职责及分工。</w:t>
      </w:r>
    </w:p>
    <w:p>
      <w:pPr>
        <w:spacing w:line="360" w:lineRule="auto"/>
        <w:ind w:firstLine="640" w:firstLineChars="200"/>
        <w:rPr>
          <w:rFonts w:ascii="仿宋_GB2312" w:hAnsi="Verdana" w:eastAsia="仿宋_GB2312"/>
          <w:sz w:val="32"/>
          <w:szCs w:val="32"/>
          <w:shd w:val="clear" w:color="auto" w:fill="FFFFFF"/>
        </w:rPr>
      </w:pPr>
      <w:r>
        <w:rPr>
          <w:rFonts w:hint="eastAsia" w:ascii="仿宋_GB2312" w:hAnsi="Verdana" w:eastAsia="仿宋_GB2312"/>
          <w:sz w:val="32"/>
          <w:szCs w:val="32"/>
          <w:shd w:val="clear" w:color="auto" w:fill="FFFFFF"/>
        </w:rPr>
        <w:t>4、本项目接受联合体服务，但联合体所有成员数量最多不超过</w:t>
      </w:r>
      <w:r>
        <w:rPr>
          <w:rFonts w:hint="eastAsia" w:ascii="仿宋_GB2312" w:hAnsi="Verdana" w:eastAsia="仿宋_GB2312"/>
          <w:sz w:val="32"/>
          <w:szCs w:val="32"/>
          <w:shd w:val="clear" w:color="auto" w:fill="FFFFFF"/>
          <w:lang w:eastAsia="zh-CN"/>
        </w:rPr>
        <w:t>四</w:t>
      </w:r>
      <w:r>
        <w:rPr>
          <w:rFonts w:hint="eastAsia" w:ascii="仿宋_GB2312" w:hAnsi="Verdana" w:eastAsia="仿宋_GB2312"/>
          <w:sz w:val="32"/>
          <w:szCs w:val="32"/>
          <w:shd w:val="clear" w:color="auto" w:fill="FFFFFF"/>
        </w:rPr>
        <w:t>家。联合体各方应签订联合体协议</w:t>
      </w:r>
      <w:r>
        <w:rPr>
          <w:rFonts w:hint="eastAsia" w:ascii="仿宋_GB2312" w:hAnsi="Verdana" w:eastAsia="仿宋_GB2312"/>
          <w:sz w:val="32"/>
          <w:szCs w:val="32"/>
          <w:shd w:val="clear" w:color="auto" w:fill="FFFFFF"/>
          <w:lang w:eastAsia="zh-CN"/>
        </w:rPr>
        <w:t>书</w:t>
      </w:r>
      <w:r>
        <w:rPr>
          <w:rFonts w:hint="eastAsia" w:ascii="仿宋_GB2312" w:hAnsi="Verdana" w:eastAsia="仿宋_GB2312"/>
          <w:sz w:val="32"/>
          <w:szCs w:val="32"/>
          <w:shd w:val="clear" w:color="auto" w:fill="FFFFFF"/>
        </w:rPr>
        <w:t>，同时应满足下列要求：联合体各方不得再以自己名义单独</w:t>
      </w:r>
      <w:r>
        <w:rPr>
          <w:rFonts w:hint="eastAsia" w:ascii="仿宋_GB2312" w:hAnsi="Verdana" w:eastAsia="仿宋_GB2312"/>
          <w:sz w:val="32"/>
          <w:szCs w:val="32"/>
          <w:shd w:val="clear" w:color="auto" w:fill="FFFFFF"/>
          <w:lang w:eastAsia="zh-CN"/>
        </w:rPr>
        <w:t>递交材料，</w:t>
      </w:r>
      <w:r>
        <w:rPr>
          <w:rFonts w:hint="eastAsia" w:ascii="仿宋_GB2312" w:hAnsi="Verdana" w:eastAsia="仿宋_GB2312"/>
          <w:sz w:val="32"/>
          <w:szCs w:val="32"/>
          <w:shd w:val="clear" w:color="auto" w:fill="FFFFFF"/>
        </w:rPr>
        <w:t>或参加其他联合体，联合体出现上述情况者，其和与此有关的联合体的</w:t>
      </w:r>
      <w:r>
        <w:rPr>
          <w:rFonts w:hint="eastAsia" w:ascii="仿宋_GB2312" w:hAnsi="Verdana" w:eastAsia="仿宋_GB2312"/>
          <w:sz w:val="32"/>
          <w:szCs w:val="32"/>
          <w:shd w:val="clear" w:color="auto" w:fill="FFFFFF"/>
          <w:lang w:eastAsia="zh-CN"/>
        </w:rPr>
        <w:t>都将被废除</w:t>
      </w:r>
      <w:r>
        <w:rPr>
          <w:rFonts w:hint="eastAsia" w:ascii="仿宋_GB2312" w:hAnsi="Verdana" w:eastAsia="仿宋_GB2312"/>
          <w:sz w:val="32"/>
          <w:szCs w:val="32"/>
          <w:shd w:val="clear" w:color="auto" w:fill="FFFFFF"/>
        </w:rPr>
        <w:t xml:space="preserve">。 </w:t>
      </w:r>
    </w:p>
    <w:p>
      <w:pPr>
        <w:ind w:firstLine="643" w:firstLineChars="200"/>
        <w:rPr>
          <w:rFonts w:ascii="仿宋_GB2312" w:hAnsi="Calibri" w:eastAsia="仿宋_GB2312" w:cs="Times New Roman"/>
          <w:b/>
          <w:bCs/>
          <w:sz w:val="32"/>
          <w:szCs w:val="32"/>
        </w:rPr>
      </w:pPr>
      <w:r>
        <w:rPr>
          <w:rFonts w:hint="eastAsia" w:ascii="仿宋_GB2312" w:hAnsi="Calibri" w:eastAsia="仿宋_GB2312" w:cs="Times New Roman"/>
          <w:b/>
          <w:bCs/>
          <w:sz w:val="32"/>
          <w:szCs w:val="32"/>
        </w:rPr>
        <w:t>六、服务报价及采购确定方法</w:t>
      </w:r>
    </w:p>
    <w:p>
      <w:pPr>
        <w:rPr>
          <w:rFonts w:ascii="仿宋_GB2312" w:hAnsi="Calibri" w:eastAsia="仿宋_GB2312" w:cs="Times New Roman"/>
          <w:sz w:val="32"/>
          <w:szCs w:val="32"/>
        </w:rPr>
      </w:pPr>
      <w:r>
        <w:rPr>
          <w:rFonts w:hint="eastAsia" w:ascii="仿宋_GB2312" w:hAnsi="Calibri" w:eastAsia="仿宋_GB2312" w:cs="Times New Roman"/>
          <w:sz w:val="32"/>
          <w:szCs w:val="32"/>
        </w:rPr>
        <w:t xml:space="preserve">    1、本次服务最高限价为人民币</w:t>
      </w:r>
      <w:r>
        <w:rPr>
          <w:rFonts w:hint="eastAsia" w:ascii="仿宋_GB2312" w:eastAsia="仿宋_GB2312"/>
          <w:color w:val="000000"/>
          <w:sz w:val="32"/>
          <w:szCs w:val="32"/>
          <w:lang w:val="en-US" w:eastAsia="zh-CN"/>
        </w:rPr>
        <w:t>45</w:t>
      </w:r>
      <w:r>
        <w:rPr>
          <w:rFonts w:hint="eastAsia" w:ascii="仿宋_GB2312" w:eastAsia="仿宋_GB2312"/>
          <w:color w:val="000000"/>
          <w:sz w:val="32"/>
          <w:szCs w:val="32"/>
        </w:rPr>
        <w:t>万元整（含税）</w:t>
      </w:r>
      <w:r>
        <w:rPr>
          <w:rFonts w:hint="eastAsia" w:ascii="仿宋_GB2312" w:hAnsi="Calibri" w:eastAsia="仿宋_GB2312" w:cs="Times New Roman"/>
          <w:sz w:val="32"/>
          <w:szCs w:val="32"/>
        </w:rPr>
        <w:t>，</w:t>
      </w:r>
      <w:r>
        <w:rPr>
          <w:rFonts w:hint="eastAsia" w:ascii="仿宋_GB2312" w:eastAsia="仿宋_GB2312"/>
          <w:sz w:val="32"/>
          <w:szCs w:val="32"/>
          <w:lang w:eastAsia="zh-CN"/>
        </w:rPr>
        <w:t>供应商</w:t>
      </w:r>
      <w:r>
        <w:rPr>
          <w:rFonts w:hint="eastAsia" w:ascii="仿宋_GB2312" w:hAnsi="Calibri" w:eastAsia="仿宋_GB2312" w:cs="Times New Roman"/>
          <w:sz w:val="32"/>
          <w:szCs w:val="32"/>
        </w:rPr>
        <w:t>报价超出最高限价或低于最高限价95%的都</w:t>
      </w:r>
      <w:r>
        <w:rPr>
          <w:rFonts w:hint="eastAsia" w:ascii="仿宋_GB2312" w:hAnsi="Calibri" w:eastAsia="仿宋_GB2312" w:cs="Times New Roman"/>
          <w:sz w:val="32"/>
          <w:szCs w:val="32"/>
          <w:lang w:eastAsia="zh-CN"/>
        </w:rPr>
        <w:t>将被</w:t>
      </w:r>
      <w:r>
        <w:rPr>
          <w:rFonts w:hint="eastAsia" w:ascii="仿宋_GB2312" w:hAnsi="Calibri" w:eastAsia="仿宋_GB2312" w:cs="Times New Roman"/>
          <w:sz w:val="32"/>
          <w:szCs w:val="32"/>
        </w:rPr>
        <w:t>废</w:t>
      </w:r>
      <w:r>
        <w:rPr>
          <w:rFonts w:hint="eastAsia" w:ascii="仿宋_GB2312" w:hAnsi="Calibri" w:eastAsia="仿宋_GB2312" w:cs="Times New Roman"/>
          <w:sz w:val="32"/>
          <w:szCs w:val="32"/>
          <w:lang w:eastAsia="zh-CN"/>
        </w:rPr>
        <w:t>除</w:t>
      </w:r>
      <w:r>
        <w:rPr>
          <w:rFonts w:hint="eastAsia" w:ascii="仿宋_GB2312" w:hAnsi="Calibri" w:eastAsia="仿宋_GB2312" w:cs="Times New Roman"/>
          <w:sz w:val="32"/>
          <w:szCs w:val="32"/>
        </w:rPr>
        <w:t>。</w:t>
      </w:r>
    </w:p>
    <w:p>
      <w:pPr>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2、服务报价包含服务过程中所需的一切费用。</w:t>
      </w:r>
    </w:p>
    <w:p>
      <w:pPr>
        <w:spacing w:line="360" w:lineRule="auto"/>
        <w:ind w:firstLine="640" w:firstLineChars="200"/>
        <w:rPr>
          <w:rFonts w:ascii="仿宋_GB2312" w:hAnsi="Verdana" w:eastAsia="仿宋_GB2312"/>
          <w:sz w:val="32"/>
          <w:szCs w:val="32"/>
          <w:shd w:val="clear" w:color="auto" w:fill="FFFFFF"/>
        </w:rPr>
      </w:pPr>
      <w:r>
        <w:rPr>
          <w:rFonts w:hint="eastAsia" w:ascii="仿宋_GB2312" w:hAnsi="宋体" w:eastAsia="仿宋_GB2312" w:cs="宋体"/>
          <w:sz w:val="32"/>
          <w:szCs w:val="32"/>
        </w:rPr>
        <w:t>3、评审小组根据评分办法及标准对</w:t>
      </w:r>
      <w:r>
        <w:rPr>
          <w:rFonts w:hint="eastAsia" w:ascii="仿宋_GB2312" w:hAnsi="宋体" w:eastAsia="仿宋_GB2312" w:cs="宋体"/>
          <w:sz w:val="32"/>
          <w:szCs w:val="32"/>
          <w:lang w:eastAsia="zh-CN"/>
        </w:rPr>
        <w:t>递交的材料</w:t>
      </w:r>
      <w:r>
        <w:rPr>
          <w:rFonts w:hint="eastAsia" w:ascii="仿宋_GB2312" w:hAnsi="宋体" w:eastAsia="仿宋_GB2312" w:cs="宋体"/>
          <w:sz w:val="32"/>
          <w:szCs w:val="32"/>
        </w:rPr>
        <w:t>进行评审，最后得出其综合得分</w:t>
      </w:r>
      <w:r>
        <w:rPr>
          <w:rFonts w:hint="eastAsia" w:ascii="仿宋_GB2312" w:hAnsi="宋体" w:eastAsia="仿宋_GB2312" w:cs="宋体"/>
          <w:sz w:val="32"/>
          <w:szCs w:val="32"/>
          <w:lang w:eastAsia="zh-CN"/>
        </w:rPr>
        <w:t>，并根据综合</w:t>
      </w:r>
      <w:r>
        <w:rPr>
          <w:rFonts w:hint="eastAsia" w:ascii="仿宋_GB2312" w:hAnsi="宋体" w:eastAsia="仿宋_GB2312" w:cs="宋体"/>
          <w:sz w:val="32"/>
          <w:szCs w:val="32"/>
        </w:rPr>
        <w:t>得分</w:t>
      </w:r>
      <w:r>
        <w:rPr>
          <w:rFonts w:hint="eastAsia" w:ascii="仿宋_GB2312" w:hAnsi="宋体" w:eastAsia="仿宋_GB2312" w:cs="宋体"/>
          <w:sz w:val="32"/>
          <w:szCs w:val="32"/>
          <w:lang w:eastAsia="zh-CN"/>
        </w:rPr>
        <w:t>排名推荐供应商</w:t>
      </w:r>
      <w:r>
        <w:rPr>
          <w:rFonts w:hint="eastAsia" w:ascii="仿宋_GB2312" w:hAnsi="宋体" w:eastAsia="仿宋_GB2312" w:cs="宋体"/>
          <w:sz w:val="32"/>
          <w:szCs w:val="32"/>
        </w:rPr>
        <w:t>。</w:t>
      </w:r>
    </w:p>
    <w:p>
      <w:pPr>
        <w:jc w:val="center"/>
        <w:rPr>
          <w:rFonts w:hint="eastAsia" w:ascii="宋体" w:hAnsi="宋体" w:cs="黑体"/>
          <w:color w:val="000000"/>
          <w:sz w:val="32"/>
          <w:szCs w:val="32"/>
          <w:lang w:val="zh-TW"/>
        </w:rPr>
      </w:pPr>
    </w:p>
    <w:p>
      <w:pPr>
        <w:jc w:val="center"/>
        <w:rPr>
          <w:rFonts w:hint="eastAsia" w:ascii="宋体" w:hAnsi="宋体" w:cs="黑体"/>
          <w:color w:val="000000"/>
          <w:sz w:val="32"/>
          <w:szCs w:val="32"/>
          <w:lang w:val="zh-TW"/>
        </w:rPr>
      </w:pPr>
    </w:p>
    <w:p>
      <w:pPr>
        <w:jc w:val="center"/>
        <w:rPr>
          <w:rFonts w:hint="eastAsia" w:ascii="宋体" w:hAnsi="宋体" w:cs="黑体"/>
          <w:color w:val="000000"/>
          <w:sz w:val="32"/>
          <w:szCs w:val="32"/>
          <w:lang w:val="zh-TW"/>
        </w:rPr>
      </w:pPr>
    </w:p>
    <w:p>
      <w:pPr>
        <w:jc w:val="both"/>
        <w:rPr>
          <w:rFonts w:hint="eastAsia" w:ascii="宋体" w:hAnsi="宋体" w:cs="黑体"/>
          <w:color w:val="000000"/>
          <w:sz w:val="32"/>
          <w:szCs w:val="32"/>
          <w:lang w:val="zh-TW"/>
        </w:rPr>
      </w:pPr>
    </w:p>
    <w:p>
      <w:pPr>
        <w:jc w:val="center"/>
        <w:rPr>
          <w:rFonts w:ascii="宋体" w:hAnsi="宋体" w:cs="黑体"/>
          <w:color w:val="000000"/>
          <w:sz w:val="32"/>
          <w:szCs w:val="32"/>
          <w:lang w:val="zh-TW"/>
        </w:rPr>
      </w:pPr>
      <w:r>
        <w:rPr>
          <w:rFonts w:hint="eastAsia" w:ascii="宋体" w:hAnsi="宋体" w:cs="黑体"/>
          <w:color w:val="000000"/>
          <w:sz w:val="32"/>
          <w:szCs w:val="32"/>
          <w:lang w:val="zh-TW"/>
        </w:rPr>
        <w:t>评分办法及标准</w:t>
      </w:r>
    </w:p>
    <w:p>
      <w:pPr>
        <w:jc w:val="center"/>
        <w:rPr>
          <w:rFonts w:ascii="宋体" w:hAnsi="宋体" w:cs="黑体"/>
          <w:color w:val="000000"/>
          <w:sz w:val="24"/>
          <w:szCs w:val="24"/>
          <w:lang w:val="zh-TW"/>
        </w:rPr>
      </w:pPr>
    </w:p>
    <w:tbl>
      <w:tblPr>
        <w:tblStyle w:val="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609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17"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仿宋" w:eastAsia="仿宋_GB2312" w:cs="宋体"/>
                <w:bCs/>
                <w:kern w:val="0"/>
                <w:sz w:val="28"/>
                <w:szCs w:val="28"/>
              </w:rPr>
              <w:t>序号</w:t>
            </w:r>
          </w:p>
        </w:tc>
        <w:tc>
          <w:tcPr>
            <w:tcW w:w="1559"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仿宋" w:eastAsia="仿宋_GB2312" w:cs="宋体"/>
                <w:bCs/>
                <w:kern w:val="0"/>
                <w:sz w:val="28"/>
                <w:szCs w:val="28"/>
              </w:rPr>
              <w:t>评审分项</w:t>
            </w:r>
          </w:p>
        </w:tc>
        <w:tc>
          <w:tcPr>
            <w:tcW w:w="6096"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仿宋" w:eastAsia="仿宋_GB2312" w:cs="宋体"/>
                <w:bCs/>
                <w:kern w:val="0"/>
                <w:sz w:val="28"/>
                <w:szCs w:val="28"/>
              </w:rPr>
              <w:t>评分标准</w:t>
            </w:r>
          </w:p>
        </w:tc>
        <w:tc>
          <w:tcPr>
            <w:tcW w:w="992"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仿宋" w:eastAsia="仿宋_GB2312" w:cs="宋体"/>
                <w:bCs/>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817"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黑体" w:eastAsia="仿宋_GB2312" w:cs="黑体"/>
                <w:color w:val="auto"/>
                <w:sz w:val="28"/>
                <w:szCs w:val="28"/>
                <w:lang w:val="en-US" w:eastAsia="zh-CN"/>
              </w:rPr>
              <w:t>1</w:t>
            </w:r>
          </w:p>
        </w:tc>
        <w:tc>
          <w:tcPr>
            <w:tcW w:w="1559" w:type="dxa"/>
            <w:noWrap w:val="0"/>
            <w:vAlign w:val="center"/>
          </w:tcPr>
          <w:p>
            <w:pPr>
              <w:keepNext w:val="0"/>
              <w:keepLines w:val="0"/>
              <w:widowControl/>
              <w:suppressLineNumbers w:val="0"/>
              <w:spacing w:before="0" w:beforeAutospacing="0" w:after="0" w:afterAutospacing="0"/>
              <w:ind w:left="0" w:right="0"/>
              <w:jc w:val="center"/>
              <w:rPr>
                <w:rFonts w:hint="default"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对用户需求的理解</w:t>
            </w:r>
          </w:p>
        </w:tc>
        <w:tc>
          <w:tcPr>
            <w:tcW w:w="6096" w:type="dxa"/>
            <w:noWrap w:val="0"/>
            <w:vAlign w:val="center"/>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000000"/>
                <w:kern w:val="0"/>
                <w:sz w:val="28"/>
                <w:szCs w:val="28"/>
                <w:lang w:val="zh-TW"/>
              </w:rPr>
            </w:pPr>
            <w:r>
              <w:rPr>
                <w:rFonts w:hint="eastAsia" w:ascii="仿宋_GB2312" w:hAnsi="仿宋" w:eastAsia="仿宋_GB2312" w:cs="宋体"/>
                <w:color w:val="000000"/>
                <w:kern w:val="0"/>
                <w:sz w:val="28"/>
                <w:szCs w:val="28"/>
                <w:lang w:val="zh-TW" w:eastAsia="zh-TW"/>
              </w:rPr>
              <w:t>评标委员会根据服务方对本项目用户需求理解的准确、合理性进行综合评价。</w:t>
            </w:r>
          </w:p>
        </w:tc>
        <w:tc>
          <w:tcPr>
            <w:tcW w:w="992"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黑体" w:eastAsia="仿宋_GB2312" w:cs="黑体"/>
                <w:color w:val="auto"/>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817"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黑体" w:eastAsia="仿宋_GB2312" w:cs="黑体"/>
                <w:color w:val="auto"/>
                <w:sz w:val="28"/>
                <w:szCs w:val="28"/>
                <w:lang w:val="en-US" w:eastAsia="zh-CN"/>
              </w:rPr>
              <w:t>2</w:t>
            </w:r>
          </w:p>
        </w:tc>
        <w:tc>
          <w:tcPr>
            <w:tcW w:w="1559"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仿宋" w:eastAsia="仿宋_GB2312" w:cs="宋体"/>
                <w:kern w:val="0"/>
                <w:sz w:val="28"/>
                <w:szCs w:val="28"/>
              </w:rPr>
              <w:t>实施方案</w:t>
            </w:r>
          </w:p>
        </w:tc>
        <w:tc>
          <w:tcPr>
            <w:tcW w:w="6096" w:type="dxa"/>
            <w:noWrap w:val="0"/>
            <w:vAlign w:val="center"/>
          </w:tcPr>
          <w:p>
            <w:pPr>
              <w:keepNext w:val="0"/>
              <w:keepLines w:val="0"/>
              <w:suppressLineNumbers w:val="0"/>
              <w:spacing w:before="0" w:beforeAutospacing="0" w:after="0" w:afterAutospacing="0"/>
              <w:ind w:left="0" w:right="0"/>
              <w:jc w:val="left"/>
              <w:rPr>
                <w:rFonts w:hint="default"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对每一项工作的报价要详细，分工明确，实施方案合理科学可行，并能够提出具有建设性的建议；满足项目需求和实际环境条件要求。</w:t>
            </w:r>
          </w:p>
        </w:tc>
        <w:tc>
          <w:tcPr>
            <w:tcW w:w="992"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黑体" w:eastAsia="仿宋_GB2312" w:cs="黑体"/>
                <w:color w:val="auto"/>
                <w:sz w:val="28"/>
                <w:szCs w:val="28"/>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trPr>
        <w:tc>
          <w:tcPr>
            <w:tcW w:w="817"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黑体" w:eastAsia="仿宋_GB2312" w:cs="黑体"/>
                <w:color w:val="auto"/>
                <w:sz w:val="28"/>
                <w:szCs w:val="28"/>
                <w:lang w:val="en-US" w:eastAsia="zh-CN"/>
              </w:rPr>
              <w:t>3</w:t>
            </w:r>
          </w:p>
        </w:tc>
        <w:tc>
          <w:tcPr>
            <w:tcW w:w="1559"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仿宋" w:eastAsia="仿宋_GB2312" w:cs="宋体"/>
                <w:kern w:val="0"/>
                <w:sz w:val="28"/>
                <w:szCs w:val="28"/>
              </w:rPr>
            </w:pPr>
            <w:r>
              <w:rPr>
                <w:rFonts w:hint="eastAsia" w:ascii="仿宋_GB2312" w:hAnsi="仿宋" w:eastAsia="仿宋_GB2312" w:cs="宋体"/>
                <w:kern w:val="0"/>
                <w:sz w:val="28"/>
                <w:szCs w:val="28"/>
              </w:rPr>
              <w:t>服务经验、质量和信用口碑</w:t>
            </w:r>
          </w:p>
        </w:tc>
        <w:tc>
          <w:tcPr>
            <w:tcW w:w="6096" w:type="dxa"/>
            <w:noWrap w:val="0"/>
            <w:vAlign w:val="center"/>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在省、市内曾有相关服务经验，能提供已完成相关工作的证明材料，质量优秀，服务对象满意。</w:t>
            </w:r>
          </w:p>
        </w:tc>
        <w:tc>
          <w:tcPr>
            <w:tcW w:w="992"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黑体" w:eastAsia="仿宋_GB2312" w:cs="黑体"/>
                <w:color w:val="auto"/>
                <w:sz w:val="28"/>
                <w:szCs w:val="28"/>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trPr>
        <w:tc>
          <w:tcPr>
            <w:tcW w:w="817"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黑体" w:eastAsia="仿宋_GB2312" w:cs="黑体"/>
                <w:color w:val="auto"/>
                <w:sz w:val="28"/>
                <w:szCs w:val="28"/>
                <w:lang w:val="en-US" w:eastAsia="zh-CN"/>
              </w:rPr>
              <w:t>4</w:t>
            </w:r>
          </w:p>
        </w:tc>
        <w:tc>
          <w:tcPr>
            <w:tcW w:w="1559"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仿宋" w:eastAsia="仿宋_GB2312" w:cs="宋体"/>
                <w:kern w:val="0"/>
                <w:sz w:val="28"/>
                <w:szCs w:val="28"/>
                <w:lang w:eastAsia="zh-CN"/>
              </w:rPr>
              <w:t>报价</w:t>
            </w:r>
          </w:p>
        </w:tc>
        <w:tc>
          <w:tcPr>
            <w:tcW w:w="6096" w:type="dxa"/>
            <w:noWrap w:val="0"/>
            <w:vAlign w:val="center"/>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采用低价优先法计算，即满足招标文件要求（通过资格性、符合性审查）且投标价格最低的有效投标报价为评标基准价，其价格分为满分（即10分）。价格由低至高排名，每排后一名扣减2分（如相同报价的得分相同），以此类推，直至0分仍有后续供应商报价的均得分为0分。</w:t>
            </w:r>
          </w:p>
        </w:tc>
        <w:tc>
          <w:tcPr>
            <w:tcW w:w="992"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黑体" w:eastAsia="仿宋_GB2312" w:cs="黑体"/>
                <w:color w:val="auto"/>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817"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黑体" w:eastAsia="仿宋_GB2312" w:cs="黑体"/>
                <w:color w:val="auto"/>
                <w:sz w:val="28"/>
                <w:szCs w:val="28"/>
                <w:lang w:val="en-US" w:eastAsia="zh-CN"/>
              </w:rPr>
              <w:t>5</w:t>
            </w:r>
          </w:p>
        </w:tc>
        <w:tc>
          <w:tcPr>
            <w:tcW w:w="7655" w:type="dxa"/>
            <w:gridSpan w:val="2"/>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仿宋" w:eastAsia="仿宋_GB2312" w:cs="宋体"/>
                <w:kern w:val="0"/>
                <w:sz w:val="28"/>
                <w:szCs w:val="28"/>
              </w:rPr>
              <w:t>合  计</w:t>
            </w:r>
          </w:p>
        </w:tc>
        <w:tc>
          <w:tcPr>
            <w:tcW w:w="992"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黑体" w:eastAsia="仿宋_GB2312" w:cs="黑体"/>
                <w:color w:val="auto"/>
                <w:sz w:val="28"/>
                <w:szCs w:val="28"/>
                <w:lang w:val="en-US" w:eastAsia="zh-CN"/>
              </w:rPr>
              <w:t>100分</w:t>
            </w:r>
          </w:p>
        </w:tc>
      </w:tr>
    </w:tbl>
    <w:p>
      <w:pPr>
        <w:pStyle w:val="15"/>
        <w:rPr>
          <w:rFonts w:ascii="仿宋_GB2312" w:eastAsia="仿宋_GB2312"/>
          <w:b/>
          <w:bCs/>
          <w:sz w:val="28"/>
          <w:szCs w:val="28"/>
          <w:lang w:eastAsia="zh-CN"/>
        </w:rPr>
      </w:pPr>
    </w:p>
    <w:sectPr>
      <w:footerReference r:id="rId3" w:type="default"/>
      <w:pgSz w:w="11906" w:h="16838"/>
      <w:pgMar w:top="1440" w:right="1134" w:bottom="1440" w:left="141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SimSun-Identity-H">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36584957"/>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sdt>
                    <w:sdtPr>
                      <w:id w:val="-1436584957"/>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F3EEB"/>
    <w:multiLevelType w:val="multilevel"/>
    <w:tmpl w:val="42CF3EEB"/>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1">
    <w:nsid w:val="61594CDD"/>
    <w:multiLevelType w:val="multilevel"/>
    <w:tmpl w:val="61594CDD"/>
    <w:lvl w:ilvl="0" w:tentative="0">
      <w:start w:val="5"/>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2">
    <w:nsid w:val="77A5AECE"/>
    <w:multiLevelType w:val="singleLevel"/>
    <w:tmpl w:val="77A5AECE"/>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34A"/>
    <w:rsid w:val="000107D2"/>
    <w:rsid w:val="000121EA"/>
    <w:rsid w:val="00013ED6"/>
    <w:rsid w:val="00015CE2"/>
    <w:rsid w:val="00016E4D"/>
    <w:rsid w:val="00017418"/>
    <w:rsid w:val="000209BA"/>
    <w:rsid w:val="00031104"/>
    <w:rsid w:val="00037CAA"/>
    <w:rsid w:val="00055667"/>
    <w:rsid w:val="00055E3E"/>
    <w:rsid w:val="00063957"/>
    <w:rsid w:val="000639BC"/>
    <w:rsid w:val="00070CE0"/>
    <w:rsid w:val="00072404"/>
    <w:rsid w:val="00082F59"/>
    <w:rsid w:val="0008401C"/>
    <w:rsid w:val="00091A4A"/>
    <w:rsid w:val="00094B54"/>
    <w:rsid w:val="0009636A"/>
    <w:rsid w:val="000B0CA5"/>
    <w:rsid w:val="000C68FD"/>
    <w:rsid w:val="000D07BE"/>
    <w:rsid w:val="000D1D5B"/>
    <w:rsid w:val="000D42F9"/>
    <w:rsid w:val="000D5425"/>
    <w:rsid w:val="000D6F54"/>
    <w:rsid w:val="000E6FF0"/>
    <w:rsid w:val="000F00BF"/>
    <w:rsid w:val="000F07D1"/>
    <w:rsid w:val="0010055C"/>
    <w:rsid w:val="00101DE0"/>
    <w:rsid w:val="001125FC"/>
    <w:rsid w:val="00114663"/>
    <w:rsid w:val="00120C1D"/>
    <w:rsid w:val="001229D8"/>
    <w:rsid w:val="00122AE3"/>
    <w:rsid w:val="00125F4F"/>
    <w:rsid w:val="00127EDD"/>
    <w:rsid w:val="001336E4"/>
    <w:rsid w:val="00144D4C"/>
    <w:rsid w:val="00150BBA"/>
    <w:rsid w:val="00152303"/>
    <w:rsid w:val="001529CC"/>
    <w:rsid w:val="001608FB"/>
    <w:rsid w:val="00162813"/>
    <w:rsid w:val="00162A47"/>
    <w:rsid w:val="00170BE9"/>
    <w:rsid w:val="00172EB5"/>
    <w:rsid w:val="001735F3"/>
    <w:rsid w:val="00174283"/>
    <w:rsid w:val="00177966"/>
    <w:rsid w:val="001846AD"/>
    <w:rsid w:val="001940D7"/>
    <w:rsid w:val="00195B90"/>
    <w:rsid w:val="001A3A9A"/>
    <w:rsid w:val="001A63A1"/>
    <w:rsid w:val="001B1145"/>
    <w:rsid w:val="001B1F00"/>
    <w:rsid w:val="001B5971"/>
    <w:rsid w:val="001B65C3"/>
    <w:rsid w:val="001C011B"/>
    <w:rsid w:val="001C729A"/>
    <w:rsid w:val="001C74D6"/>
    <w:rsid w:val="001D0DED"/>
    <w:rsid w:val="001D0F1B"/>
    <w:rsid w:val="001D1A3D"/>
    <w:rsid w:val="001D3543"/>
    <w:rsid w:val="001D4971"/>
    <w:rsid w:val="001E23AD"/>
    <w:rsid w:val="001E5608"/>
    <w:rsid w:val="001E5EA1"/>
    <w:rsid w:val="001F0634"/>
    <w:rsid w:val="001F1105"/>
    <w:rsid w:val="001F6833"/>
    <w:rsid w:val="00202591"/>
    <w:rsid w:val="00212AFB"/>
    <w:rsid w:val="0021486F"/>
    <w:rsid w:val="00215380"/>
    <w:rsid w:val="002223D1"/>
    <w:rsid w:val="002241E9"/>
    <w:rsid w:val="002340EA"/>
    <w:rsid w:val="00234781"/>
    <w:rsid w:val="00251F54"/>
    <w:rsid w:val="002525BD"/>
    <w:rsid w:val="002629F7"/>
    <w:rsid w:val="00281D7B"/>
    <w:rsid w:val="00282AB1"/>
    <w:rsid w:val="00290CC9"/>
    <w:rsid w:val="00290E74"/>
    <w:rsid w:val="002911F4"/>
    <w:rsid w:val="00296249"/>
    <w:rsid w:val="00297EF6"/>
    <w:rsid w:val="002A0E59"/>
    <w:rsid w:val="002A120C"/>
    <w:rsid w:val="002B7970"/>
    <w:rsid w:val="002D6EC2"/>
    <w:rsid w:val="002D7265"/>
    <w:rsid w:val="002D7D83"/>
    <w:rsid w:val="002E531F"/>
    <w:rsid w:val="002E6CFB"/>
    <w:rsid w:val="002F261F"/>
    <w:rsid w:val="002F6567"/>
    <w:rsid w:val="00306507"/>
    <w:rsid w:val="00306FB0"/>
    <w:rsid w:val="00307BBD"/>
    <w:rsid w:val="0031130C"/>
    <w:rsid w:val="003146BE"/>
    <w:rsid w:val="00316342"/>
    <w:rsid w:val="00317820"/>
    <w:rsid w:val="00323A17"/>
    <w:rsid w:val="00323CA4"/>
    <w:rsid w:val="00340328"/>
    <w:rsid w:val="003404A9"/>
    <w:rsid w:val="0034110D"/>
    <w:rsid w:val="00347B45"/>
    <w:rsid w:val="003617FD"/>
    <w:rsid w:val="00362699"/>
    <w:rsid w:val="00366EEB"/>
    <w:rsid w:val="00380222"/>
    <w:rsid w:val="003835E0"/>
    <w:rsid w:val="00385BEF"/>
    <w:rsid w:val="003924EF"/>
    <w:rsid w:val="003A041B"/>
    <w:rsid w:val="003A55E0"/>
    <w:rsid w:val="003A79FC"/>
    <w:rsid w:val="003B3D58"/>
    <w:rsid w:val="003C0712"/>
    <w:rsid w:val="003C1285"/>
    <w:rsid w:val="003C1726"/>
    <w:rsid w:val="003C43A5"/>
    <w:rsid w:val="003D13BA"/>
    <w:rsid w:val="003D74E4"/>
    <w:rsid w:val="003E1DFC"/>
    <w:rsid w:val="003E50B4"/>
    <w:rsid w:val="003E7743"/>
    <w:rsid w:val="003F0817"/>
    <w:rsid w:val="003F2D8F"/>
    <w:rsid w:val="00401BC1"/>
    <w:rsid w:val="0040398A"/>
    <w:rsid w:val="00412F68"/>
    <w:rsid w:val="00414B80"/>
    <w:rsid w:val="00417195"/>
    <w:rsid w:val="00421460"/>
    <w:rsid w:val="00426472"/>
    <w:rsid w:val="00426690"/>
    <w:rsid w:val="00430D6F"/>
    <w:rsid w:val="00432D69"/>
    <w:rsid w:val="00443790"/>
    <w:rsid w:val="00444F12"/>
    <w:rsid w:val="00446FE8"/>
    <w:rsid w:val="00447A60"/>
    <w:rsid w:val="00452ED8"/>
    <w:rsid w:val="00455963"/>
    <w:rsid w:val="00465EAC"/>
    <w:rsid w:val="00467565"/>
    <w:rsid w:val="00472053"/>
    <w:rsid w:val="004761E1"/>
    <w:rsid w:val="00481290"/>
    <w:rsid w:val="004849A0"/>
    <w:rsid w:val="004A0F90"/>
    <w:rsid w:val="004A3261"/>
    <w:rsid w:val="004A4735"/>
    <w:rsid w:val="004A624A"/>
    <w:rsid w:val="004B57AF"/>
    <w:rsid w:val="004B731B"/>
    <w:rsid w:val="004C2BDB"/>
    <w:rsid w:val="004D1289"/>
    <w:rsid w:val="004D3230"/>
    <w:rsid w:val="004D39E9"/>
    <w:rsid w:val="004E339E"/>
    <w:rsid w:val="00500A20"/>
    <w:rsid w:val="005100A1"/>
    <w:rsid w:val="00511A29"/>
    <w:rsid w:val="00517247"/>
    <w:rsid w:val="005228BD"/>
    <w:rsid w:val="00523F5F"/>
    <w:rsid w:val="0052459D"/>
    <w:rsid w:val="00532CD6"/>
    <w:rsid w:val="00537715"/>
    <w:rsid w:val="00552639"/>
    <w:rsid w:val="00553DFF"/>
    <w:rsid w:val="005617DA"/>
    <w:rsid w:val="00567CB6"/>
    <w:rsid w:val="00570411"/>
    <w:rsid w:val="005738CB"/>
    <w:rsid w:val="00575890"/>
    <w:rsid w:val="00585535"/>
    <w:rsid w:val="005864AB"/>
    <w:rsid w:val="005934EB"/>
    <w:rsid w:val="005954E3"/>
    <w:rsid w:val="00595847"/>
    <w:rsid w:val="00596BAE"/>
    <w:rsid w:val="005A434C"/>
    <w:rsid w:val="005B1051"/>
    <w:rsid w:val="005B1E91"/>
    <w:rsid w:val="005C1639"/>
    <w:rsid w:val="005C312D"/>
    <w:rsid w:val="005C338B"/>
    <w:rsid w:val="005C3EF7"/>
    <w:rsid w:val="005C4D5D"/>
    <w:rsid w:val="005D01F2"/>
    <w:rsid w:val="005D1566"/>
    <w:rsid w:val="005D1A92"/>
    <w:rsid w:val="005D34EA"/>
    <w:rsid w:val="005D36C7"/>
    <w:rsid w:val="005D7D8B"/>
    <w:rsid w:val="005E090F"/>
    <w:rsid w:val="005F4B5C"/>
    <w:rsid w:val="00601C01"/>
    <w:rsid w:val="006026E5"/>
    <w:rsid w:val="006036B0"/>
    <w:rsid w:val="006052EA"/>
    <w:rsid w:val="00610921"/>
    <w:rsid w:val="00621F16"/>
    <w:rsid w:val="0062399F"/>
    <w:rsid w:val="00624811"/>
    <w:rsid w:val="0062762B"/>
    <w:rsid w:val="006304EB"/>
    <w:rsid w:val="00630E22"/>
    <w:rsid w:val="006373DA"/>
    <w:rsid w:val="0065196A"/>
    <w:rsid w:val="00653AFE"/>
    <w:rsid w:val="006600A8"/>
    <w:rsid w:val="00670F99"/>
    <w:rsid w:val="006748D1"/>
    <w:rsid w:val="00676837"/>
    <w:rsid w:val="00680EEA"/>
    <w:rsid w:val="006826CF"/>
    <w:rsid w:val="00683B98"/>
    <w:rsid w:val="00692C7C"/>
    <w:rsid w:val="006934F6"/>
    <w:rsid w:val="00693985"/>
    <w:rsid w:val="00694A53"/>
    <w:rsid w:val="006A13FE"/>
    <w:rsid w:val="006B016F"/>
    <w:rsid w:val="006B0730"/>
    <w:rsid w:val="006B07D9"/>
    <w:rsid w:val="006B158F"/>
    <w:rsid w:val="006B6EF7"/>
    <w:rsid w:val="006C1C76"/>
    <w:rsid w:val="006C2C1D"/>
    <w:rsid w:val="006C4031"/>
    <w:rsid w:val="006C428B"/>
    <w:rsid w:val="006D1D71"/>
    <w:rsid w:val="006D1F8C"/>
    <w:rsid w:val="006D70EC"/>
    <w:rsid w:val="006D7517"/>
    <w:rsid w:val="006E51D5"/>
    <w:rsid w:val="006E7F9E"/>
    <w:rsid w:val="006F0C80"/>
    <w:rsid w:val="006F2920"/>
    <w:rsid w:val="006F3367"/>
    <w:rsid w:val="006F5720"/>
    <w:rsid w:val="007008CE"/>
    <w:rsid w:val="00716974"/>
    <w:rsid w:val="0072752B"/>
    <w:rsid w:val="00732A1C"/>
    <w:rsid w:val="007338DA"/>
    <w:rsid w:val="007340C4"/>
    <w:rsid w:val="00734AAC"/>
    <w:rsid w:val="0073540E"/>
    <w:rsid w:val="0073721B"/>
    <w:rsid w:val="0074548B"/>
    <w:rsid w:val="00745536"/>
    <w:rsid w:val="00753732"/>
    <w:rsid w:val="00754413"/>
    <w:rsid w:val="00754C55"/>
    <w:rsid w:val="007561A8"/>
    <w:rsid w:val="00756F0E"/>
    <w:rsid w:val="007638EE"/>
    <w:rsid w:val="00770883"/>
    <w:rsid w:val="00770A24"/>
    <w:rsid w:val="00771ED1"/>
    <w:rsid w:val="00780DEF"/>
    <w:rsid w:val="007849A6"/>
    <w:rsid w:val="00787E28"/>
    <w:rsid w:val="00792C81"/>
    <w:rsid w:val="0079376D"/>
    <w:rsid w:val="00796EA1"/>
    <w:rsid w:val="0079709E"/>
    <w:rsid w:val="007A3EFA"/>
    <w:rsid w:val="007A4B7F"/>
    <w:rsid w:val="007B220A"/>
    <w:rsid w:val="007B339E"/>
    <w:rsid w:val="007B447B"/>
    <w:rsid w:val="007B47DC"/>
    <w:rsid w:val="007B7FE7"/>
    <w:rsid w:val="007C15E0"/>
    <w:rsid w:val="007C5A0C"/>
    <w:rsid w:val="007E0A85"/>
    <w:rsid w:val="007E1215"/>
    <w:rsid w:val="007F0700"/>
    <w:rsid w:val="007F12E0"/>
    <w:rsid w:val="007F2C30"/>
    <w:rsid w:val="00802F1E"/>
    <w:rsid w:val="00803591"/>
    <w:rsid w:val="00807F0E"/>
    <w:rsid w:val="00813E36"/>
    <w:rsid w:val="00833343"/>
    <w:rsid w:val="008334B0"/>
    <w:rsid w:val="00836C93"/>
    <w:rsid w:val="008372DE"/>
    <w:rsid w:val="00842104"/>
    <w:rsid w:val="00843C48"/>
    <w:rsid w:val="00844CCD"/>
    <w:rsid w:val="008458AB"/>
    <w:rsid w:val="00845912"/>
    <w:rsid w:val="00847A16"/>
    <w:rsid w:val="008519E6"/>
    <w:rsid w:val="0086111C"/>
    <w:rsid w:val="00864359"/>
    <w:rsid w:val="008653D5"/>
    <w:rsid w:val="00866658"/>
    <w:rsid w:val="00882B1C"/>
    <w:rsid w:val="008836B0"/>
    <w:rsid w:val="00884A6B"/>
    <w:rsid w:val="0088581B"/>
    <w:rsid w:val="008872DD"/>
    <w:rsid w:val="008976E4"/>
    <w:rsid w:val="008977E0"/>
    <w:rsid w:val="008A0B46"/>
    <w:rsid w:val="008A22E1"/>
    <w:rsid w:val="008A34DA"/>
    <w:rsid w:val="008A5558"/>
    <w:rsid w:val="008B2462"/>
    <w:rsid w:val="008B5020"/>
    <w:rsid w:val="008C36AC"/>
    <w:rsid w:val="008D01A1"/>
    <w:rsid w:val="008D0699"/>
    <w:rsid w:val="008D443A"/>
    <w:rsid w:val="008D731F"/>
    <w:rsid w:val="008E1CF1"/>
    <w:rsid w:val="008E31AF"/>
    <w:rsid w:val="008E3A56"/>
    <w:rsid w:val="008E7302"/>
    <w:rsid w:val="008F1E79"/>
    <w:rsid w:val="008F52E9"/>
    <w:rsid w:val="00903679"/>
    <w:rsid w:val="009077E9"/>
    <w:rsid w:val="009102F0"/>
    <w:rsid w:val="0091129E"/>
    <w:rsid w:val="0091572E"/>
    <w:rsid w:val="00915E38"/>
    <w:rsid w:val="009167FB"/>
    <w:rsid w:val="00916EA4"/>
    <w:rsid w:val="0092266C"/>
    <w:rsid w:val="00924E2E"/>
    <w:rsid w:val="00931B6F"/>
    <w:rsid w:val="0093621F"/>
    <w:rsid w:val="00945207"/>
    <w:rsid w:val="00945412"/>
    <w:rsid w:val="009461CB"/>
    <w:rsid w:val="00947DC2"/>
    <w:rsid w:val="00951AD2"/>
    <w:rsid w:val="009526BE"/>
    <w:rsid w:val="0096612E"/>
    <w:rsid w:val="0097086B"/>
    <w:rsid w:val="00973524"/>
    <w:rsid w:val="00984228"/>
    <w:rsid w:val="00991DC4"/>
    <w:rsid w:val="0099504A"/>
    <w:rsid w:val="009B3B83"/>
    <w:rsid w:val="009B4B24"/>
    <w:rsid w:val="009C3760"/>
    <w:rsid w:val="009C3DA9"/>
    <w:rsid w:val="009C59E6"/>
    <w:rsid w:val="009D6537"/>
    <w:rsid w:val="009D7EB8"/>
    <w:rsid w:val="009E263F"/>
    <w:rsid w:val="009E6C6C"/>
    <w:rsid w:val="009F29C1"/>
    <w:rsid w:val="009F75CD"/>
    <w:rsid w:val="00A0136E"/>
    <w:rsid w:val="00A0416D"/>
    <w:rsid w:val="00A11A66"/>
    <w:rsid w:val="00A12814"/>
    <w:rsid w:val="00A12B38"/>
    <w:rsid w:val="00A134D9"/>
    <w:rsid w:val="00A158AF"/>
    <w:rsid w:val="00A17640"/>
    <w:rsid w:val="00A20DCC"/>
    <w:rsid w:val="00A2228D"/>
    <w:rsid w:val="00A22A2D"/>
    <w:rsid w:val="00A34EEA"/>
    <w:rsid w:val="00A3543C"/>
    <w:rsid w:val="00A3758F"/>
    <w:rsid w:val="00A42F3A"/>
    <w:rsid w:val="00A43EDC"/>
    <w:rsid w:val="00A543E7"/>
    <w:rsid w:val="00A54EA2"/>
    <w:rsid w:val="00A56458"/>
    <w:rsid w:val="00A56891"/>
    <w:rsid w:val="00A61732"/>
    <w:rsid w:val="00A656D1"/>
    <w:rsid w:val="00A6785F"/>
    <w:rsid w:val="00A73285"/>
    <w:rsid w:val="00A74D6C"/>
    <w:rsid w:val="00A74FD6"/>
    <w:rsid w:val="00A852C0"/>
    <w:rsid w:val="00A87FE6"/>
    <w:rsid w:val="00A910AE"/>
    <w:rsid w:val="00A95EB8"/>
    <w:rsid w:val="00AA1751"/>
    <w:rsid w:val="00AA18EB"/>
    <w:rsid w:val="00AA4DCE"/>
    <w:rsid w:val="00AA514A"/>
    <w:rsid w:val="00AB2B0E"/>
    <w:rsid w:val="00AC23D0"/>
    <w:rsid w:val="00AC35ED"/>
    <w:rsid w:val="00AC3981"/>
    <w:rsid w:val="00AC74B2"/>
    <w:rsid w:val="00AC7DBB"/>
    <w:rsid w:val="00AD567B"/>
    <w:rsid w:val="00AD5933"/>
    <w:rsid w:val="00AD6931"/>
    <w:rsid w:val="00AE0C15"/>
    <w:rsid w:val="00AE4376"/>
    <w:rsid w:val="00AE72EE"/>
    <w:rsid w:val="00AF483D"/>
    <w:rsid w:val="00AF49CE"/>
    <w:rsid w:val="00B00E0C"/>
    <w:rsid w:val="00B13596"/>
    <w:rsid w:val="00B1495E"/>
    <w:rsid w:val="00B20696"/>
    <w:rsid w:val="00B24973"/>
    <w:rsid w:val="00B2734A"/>
    <w:rsid w:val="00B3005A"/>
    <w:rsid w:val="00B30598"/>
    <w:rsid w:val="00B3211C"/>
    <w:rsid w:val="00B35A82"/>
    <w:rsid w:val="00B377D2"/>
    <w:rsid w:val="00B47680"/>
    <w:rsid w:val="00B57A56"/>
    <w:rsid w:val="00B6370F"/>
    <w:rsid w:val="00B652B0"/>
    <w:rsid w:val="00B66769"/>
    <w:rsid w:val="00B6783F"/>
    <w:rsid w:val="00B72D76"/>
    <w:rsid w:val="00B77642"/>
    <w:rsid w:val="00B86A96"/>
    <w:rsid w:val="00B9147F"/>
    <w:rsid w:val="00B916A9"/>
    <w:rsid w:val="00B937E4"/>
    <w:rsid w:val="00BA09FB"/>
    <w:rsid w:val="00BA3983"/>
    <w:rsid w:val="00BA405A"/>
    <w:rsid w:val="00BB3F68"/>
    <w:rsid w:val="00BC5484"/>
    <w:rsid w:val="00BE1ADD"/>
    <w:rsid w:val="00BF03D2"/>
    <w:rsid w:val="00BF1BDC"/>
    <w:rsid w:val="00C003DC"/>
    <w:rsid w:val="00C0063C"/>
    <w:rsid w:val="00C04047"/>
    <w:rsid w:val="00C07325"/>
    <w:rsid w:val="00C104AB"/>
    <w:rsid w:val="00C13777"/>
    <w:rsid w:val="00C17972"/>
    <w:rsid w:val="00C24163"/>
    <w:rsid w:val="00C24EE8"/>
    <w:rsid w:val="00C26171"/>
    <w:rsid w:val="00C265CC"/>
    <w:rsid w:val="00C30544"/>
    <w:rsid w:val="00C41473"/>
    <w:rsid w:val="00C43695"/>
    <w:rsid w:val="00C43DC6"/>
    <w:rsid w:val="00C45185"/>
    <w:rsid w:val="00C50D04"/>
    <w:rsid w:val="00C57F12"/>
    <w:rsid w:val="00C57F73"/>
    <w:rsid w:val="00C62409"/>
    <w:rsid w:val="00C6348B"/>
    <w:rsid w:val="00C65DB8"/>
    <w:rsid w:val="00C6663C"/>
    <w:rsid w:val="00C86E4C"/>
    <w:rsid w:val="00CA445F"/>
    <w:rsid w:val="00CA5171"/>
    <w:rsid w:val="00CA5524"/>
    <w:rsid w:val="00CB1300"/>
    <w:rsid w:val="00CB32FD"/>
    <w:rsid w:val="00CB353E"/>
    <w:rsid w:val="00CD084F"/>
    <w:rsid w:val="00CE12F4"/>
    <w:rsid w:val="00CF03E8"/>
    <w:rsid w:val="00CF33B2"/>
    <w:rsid w:val="00D00EA2"/>
    <w:rsid w:val="00D035DF"/>
    <w:rsid w:val="00D062D8"/>
    <w:rsid w:val="00D25CD2"/>
    <w:rsid w:val="00D30ED7"/>
    <w:rsid w:val="00D34EBA"/>
    <w:rsid w:val="00D37B9E"/>
    <w:rsid w:val="00D42DEC"/>
    <w:rsid w:val="00D43C09"/>
    <w:rsid w:val="00D446E6"/>
    <w:rsid w:val="00D46AEC"/>
    <w:rsid w:val="00D5002B"/>
    <w:rsid w:val="00D5315C"/>
    <w:rsid w:val="00D57E10"/>
    <w:rsid w:val="00D65AFB"/>
    <w:rsid w:val="00D66A19"/>
    <w:rsid w:val="00D67E34"/>
    <w:rsid w:val="00D70F1F"/>
    <w:rsid w:val="00D81ADC"/>
    <w:rsid w:val="00D82416"/>
    <w:rsid w:val="00D8376C"/>
    <w:rsid w:val="00D837B8"/>
    <w:rsid w:val="00D90763"/>
    <w:rsid w:val="00D930DA"/>
    <w:rsid w:val="00DA0A1B"/>
    <w:rsid w:val="00DA48FB"/>
    <w:rsid w:val="00DB785A"/>
    <w:rsid w:val="00DC0F5F"/>
    <w:rsid w:val="00DC5835"/>
    <w:rsid w:val="00DC7935"/>
    <w:rsid w:val="00DD18F7"/>
    <w:rsid w:val="00DD5998"/>
    <w:rsid w:val="00DE0173"/>
    <w:rsid w:val="00DF1F94"/>
    <w:rsid w:val="00DF26B4"/>
    <w:rsid w:val="00DF30F2"/>
    <w:rsid w:val="00DF3AC9"/>
    <w:rsid w:val="00DF470D"/>
    <w:rsid w:val="00DF6296"/>
    <w:rsid w:val="00E1721D"/>
    <w:rsid w:val="00E1761E"/>
    <w:rsid w:val="00E17A04"/>
    <w:rsid w:val="00E209BC"/>
    <w:rsid w:val="00E2172C"/>
    <w:rsid w:val="00E23610"/>
    <w:rsid w:val="00E24337"/>
    <w:rsid w:val="00E27D7C"/>
    <w:rsid w:val="00E3209F"/>
    <w:rsid w:val="00E32D2E"/>
    <w:rsid w:val="00E362EB"/>
    <w:rsid w:val="00E44181"/>
    <w:rsid w:val="00E45E65"/>
    <w:rsid w:val="00E56F74"/>
    <w:rsid w:val="00E616A6"/>
    <w:rsid w:val="00E624B7"/>
    <w:rsid w:val="00E63049"/>
    <w:rsid w:val="00E6704A"/>
    <w:rsid w:val="00E720DE"/>
    <w:rsid w:val="00E87F91"/>
    <w:rsid w:val="00E9231F"/>
    <w:rsid w:val="00E96E2E"/>
    <w:rsid w:val="00EA15A1"/>
    <w:rsid w:val="00EA5FD1"/>
    <w:rsid w:val="00EB12BA"/>
    <w:rsid w:val="00EB1C0A"/>
    <w:rsid w:val="00EB2BD7"/>
    <w:rsid w:val="00EB5AFA"/>
    <w:rsid w:val="00ED7CD1"/>
    <w:rsid w:val="00EF1D9A"/>
    <w:rsid w:val="00EF4C91"/>
    <w:rsid w:val="00F023BD"/>
    <w:rsid w:val="00F202D8"/>
    <w:rsid w:val="00F324DC"/>
    <w:rsid w:val="00F379D3"/>
    <w:rsid w:val="00F428F9"/>
    <w:rsid w:val="00F42943"/>
    <w:rsid w:val="00F5002B"/>
    <w:rsid w:val="00F5713F"/>
    <w:rsid w:val="00F615D1"/>
    <w:rsid w:val="00F626A5"/>
    <w:rsid w:val="00F63270"/>
    <w:rsid w:val="00F87AF8"/>
    <w:rsid w:val="00F959B9"/>
    <w:rsid w:val="00FA2711"/>
    <w:rsid w:val="00FA4610"/>
    <w:rsid w:val="00FA7F51"/>
    <w:rsid w:val="00FB146B"/>
    <w:rsid w:val="00FB147B"/>
    <w:rsid w:val="00FB2D3D"/>
    <w:rsid w:val="00FB3C0A"/>
    <w:rsid w:val="00FB7BDF"/>
    <w:rsid w:val="00FD3DBA"/>
    <w:rsid w:val="00FE19EE"/>
    <w:rsid w:val="00FE4C7C"/>
    <w:rsid w:val="00FE4EAC"/>
    <w:rsid w:val="00FE733B"/>
    <w:rsid w:val="00FF3860"/>
    <w:rsid w:val="0401126C"/>
    <w:rsid w:val="0F606D28"/>
    <w:rsid w:val="10473472"/>
    <w:rsid w:val="13D21C5D"/>
    <w:rsid w:val="13D562B4"/>
    <w:rsid w:val="172A0FE4"/>
    <w:rsid w:val="1CF22140"/>
    <w:rsid w:val="27350133"/>
    <w:rsid w:val="2ACB144E"/>
    <w:rsid w:val="42CD7D9B"/>
    <w:rsid w:val="45380694"/>
    <w:rsid w:val="45612580"/>
    <w:rsid w:val="458C3C56"/>
    <w:rsid w:val="54167AA8"/>
    <w:rsid w:val="5C4674EA"/>
    <w:rsid w:val="5DE73FF0"/>
    <w:rsid w:val="67406665"/>
    <w:rsid w:val="67D312CC"/>
    <w:rsid w:val="787B3E9C"/>
    <w:rsid w:val="7B6B0981"/>
    <w:rsid w:val="7FBE2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22"/>
    <w:rPr>
      <w:b/>
      <w:bCs/>
      <w:spacing w:val="0"/>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8"/>
    <w:link w:val="2"/>
    <w:semiHidden/>
    <w:qFormat/>
    <w:uiPriority w:val="99"/>
    <w:rPr>
      <w:sz w:val="18"/>
      <w:szCs w:val="18"/>
    </w:rPr>
  </w:style>
  <w:style w:type="paragraph" w:customStyle="1" w:styleId="14">
    <w:name w:val="正文 New New New New New New New New New"/>
    <w:qFormat/>
    <w:uiPriority w:val="0"/>
    <w:pPr>
      <w:widowControl w:val="0"/>
    </w:pPr>
    <w:rPr>
      <w:rFonts w:ascii="Arial Unicode MS" w:hAnsi="Arial Unicode MS" w:eastAsia="Arial Unicode MS" w:cs="Arial Unicode MS"/>
      <w:color w:val="000000"/>
      <w:kern w:val="2"/>
      <w:sz w:val="24"/>
      <w:szCs w:val="24"/>
      <w:lang w:val="zh-TW" w:eastAsia="zh-TW" w:bidi="ar-SA"/>
    </w:rPr>
  </w:style>
  <w:style w:type="paragraph" w:styleId="15">
    <w:name w:val="No Spacing"/>
    <w:basedOn w:val="1"/>
    <w:link w:val="16"/>
    <w:qFormat/>
    <w:uiPriority w:val="1"/>
    <w:pPr>
      <w:widowControl/>
      <w:jc w:val="left"/>
    </w:pPr>
    <w:rPr>
      <w:rFonts w:ascii="Calibri" w:hAnsi="Calibri" w:eastAsia="宋体" w:cs="Times New Roman"/>
      <w:kern w:val="0"/>
      <w:sz w:val="22"/>
      <w:lang w:eastAsia="en-US" w:bidi="en-US"/>
    </w:rPr>
  </w:style>
  <w:style w:type="character" w:customStyle="1" w:styleId="16">
    <w:name w:val="无间隔 Char"/>
    <w:basedOn w:val="8"/>
    <w:link w:val="15"/>
    <w:qFormat/>
    <w:uiPriority w:val="1"/>
    <w:rPr>
      <w:rFonts w:ascii="Calibri" w:hAnsi="Calibri" w:eastAsia="宋体" w:cs="Times New Roman"/>
      <w:kern w:val="0"/>
      <w:sz w:val="22"/>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gz</Company>
  <Pages>5</Pages>
  <Words>251</Words>
  <Characters>1436</Characters>
  <Lines>11</Lines>
  <Paragraphs>3</Paragraphs>
  <TotalTime>1</TotalTime>
  <ScaleCrop>false</ScaleCrop>
  <LinksUpToDate>false</LinksUpToDate>
  <CharactersWithSpaces>1684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2019-05-14T07:50:00Z</dcterms:created>
  <dc:creator>廖祖辉</dc:creator>
  <cp:lastModifiedBy>吕学成</cp:lastModifiedBy>
  <cp:lastPrinted>2022-03-24T03:34:00Z</cp:lastPrinted>
  <dcterms:modified xsi:type="dcterms:W3CDTF">2022-03-24T04:17:11Z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