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EB" w:rsidRDefault="00D474EB" w:rsidP="00D474EB">
      <w:pPr>
        <w:spacing w:line="740" w:lineRule="exact"/>
        <w:jc w:val="center"/>
        <w:rPr>
          <w:rFonts w:eastAsia="方正小标宋简体" w:hint="eastAsia"/>
          <w:kern w:val="0"/>
          <w:sz w:val="44"/>
          <w:szCs w:val="44"/>
          <w:lang w:val="zh-CN" w:eastAsia="zh-CN"/>
        </w:rPr>
      </w:pPr>
      <w:r>
        <w:rPr>
          <w:rFonts w:eastAsia="方正小标宋简体" w:hint="eastAsia"/>
          <w:kern w:val="0"/>
          <w:sz w:val="44"/>
          <w:szCs w:val="44"/>
          <w:lang w:val="zh-CN" w:eastAsia="zh-CN"/>
        </w:rPr>
        <w:t>江门市市场监督管理局</w:t>
      </w:r>
      <w:r>
        <w:rPr>
          <w:rFonts w:eastAsia="方正小标宋简体" w:hint="eastAsia"/>
          <w:kern w:val="0"/>
          <w:sz w:val="44"/>
          <w:szCs w:val="44"/>
          <w:lang w:val="zh-CN" w:eastAsia="zh-CN"/>
        </w:rPr>
        <w:t>2020</w:t>
      </w:r>
      <w:r>
        <w:rPr>
          <w:rFonts w:eastAsia="方正小标宋简体" w:hint="eastAsia"/>
          <w:kern w:val="0"/>
          <w:sz w:val="44"/>
          <w:szCs w:val="44"/>
          <w:lang w:val="zh-CN" w:eastAsia="zh-CN"/>
        </w:rPr>
        <w:t>年普法责任清单</w:t>
      </w:r>
    </w:p>
    <w:p w:rsidR="00D474EB" w:rsidRDefault="00D474EB" w:rsidP="00D474EB">
      <w:pPr>
        <w:spacing w:line="140" w:lineRule="exact"/>
        <w:ind w:firstLineChars="200" w:firstLine="640"/>
        <w:rPr>
          <w:rFonts w:eastAsia="仿宋_GB2312" w:hint="eastAsia"/>
          <w:sz w:val="32"/>
          <w:szCs w:val="3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8"/>
        <w:gridCol w:w="763"/>
        <w:gridCol w:w="3804"/>
        <w:gridCol w:w="1440"/>
        <w:gridCol w:w="2235"/>
        <w:gridCol w:w="5846"/>
      </w:tblGrid>
      <w:tr w:rsidR="00D474EB" w:rsidTr="00DD563D">
        <w:trPr>
          <w:trHeight w:val="875"/>
          <w:tblHeader/>
          <w:jc w:val="center"/>
        </w:trPr>
        <w:tc>
          <w:tcPr>
            <w:tcW w:w="568"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rPr>
              <w:t>序号</w:t>
            </w:r>
          </w:p>
        </w:tc>
        <w:tc>
          <w:tcPr>
            <w:tcW w:w="763"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kern w:val="0"/>
                <w:lang w:bidi="ar"/>
              </w:rPr>
              <w:t>单位</w:t>
            </w:r>
          </w:p>
        </w:tc>
        <w:tc>
          <w:tcPr>
            <w:tcW w:w="3804"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kern w:val="0"/>
                <w:lang w:bidi="ar"/>
              </w:rPr>
              <w:t>普法内容</w:t>
            </w:r>
          </w:p>
        </w:tc>
        <w:tc>
          <w:tcPr>
            <w:tcW w:w="1440"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kern w:val="0"/>
                <w:lang w:bidi="ar"/>
              </w:rPr>
              <w:t>普法对象</w:t>
            </w:r>
          </w:p>
        </w:tc>
        <w:tc>
          <w:tcPr>
            <w:tcW w:w="2235"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kern w:val="0"/>
                <w:lang w:bidi="ar"/>
              </w:rPr>
              <w:t>普法目标</w:t>
            </w:r>
          </w:p>
        </w:tc>
        <w:tc>
          <w:tcPr>
            <w:tcW w:w="5846" w:type="dxa"/>
            <w:tcBorders>
              <w:tl2br w:val="nil"/>
              <w:tr2bl w:val="nil"/>
            </w:tcBorders>
            <w:vAlign w:val="center"/>
          </w:tcPr>
          <w:p w:rsidR="00D474EB" w:rsidRDefault="00D474EB" w:rsidP="00DD563D">
            <w:pPr>
              <w:widowControl/>
              <w:spacing w:line="340" w:lineRule="exact"/>
              <w:jc w:val="center"/>
              <w:textAlignment w:val="center"/>
              <w:rPr>
                <w:rFonts w:ascii="黑体" w:eastAsia="黑体" w:hAnsi="黑体" w:cs="黑体" w:hint="eastAsia"/>
                <w:bCs/>
                <w:color w:val="000000"/>
              </w:rPr>
            </w:pPr>
            <w:r>
              <w:rPr>
                <w:rFonts w:ascii="黑体" w:eastAsia="黑体" w:hAnsi="黑体" w:cs="黑体" w:hint="eastAsia"/>
                <w:bCs/>
                <w:color w:val="000000"/>
                <w:kern w:val="0"/>
                <w:lang w:bidi="ar"/>
              </w:rPr>
              <w:t>具体举措</w:t>
            </w:r>
          </w:p>
        </w:tc>
      </w:tr>
      <w:tr w:rsidR="00D474EB" w:rsidTr="00DD563D">
        <w:trPr>
          <w:trHeight w:val="5485"/>
          <w:jc w:val="center"/>
        </w:trPr>
        <w:tc>
          <w:tcPr>
            <w:tcW w:w="568" w:type="dxa"/>
            <w:tcBorders>
              <w:tl2br w:val="nil"/>
              <w:tr2bl w:val="nil"/>
            </w:tcBorders>
            <w:vAlign w:val="center"/>
          </w:tcPr>
          <w:p w:rsidR="00D474EB" w:rsidRDefault="00D474EB" w:rsidP="00DD563D">
            <w:pPr>
              <w:widowControl/>
              <w:tabs>
                <w:tab w:val="left" w:pos="397"/>
                <w:tab w:val="left" w:pos="681"/>
              </w:tabs>
              <w:spacing w:line="340" w:lineRule="exact"/>
              <w:jc w:val="center"/>
              <w:textAlignment w:val="center"/>
              <w:rPr>
                <w:rFonts w:eastAsia="仿宋_GB2312"/>
                <w:color w:val="000000"/>
              </w:rPr>
            </w:pPr>
            <w:r>
              <w:rPr>
                <w:rFonts w:eastAsia="仿宋_GB2312"/>
                <w:color w:val="000000"/>
              </w:rPr>
              <w:t>1</w:t>
            </w:r>
          </w:p>
        </w:tc>
        <w:tc>
          <w:tcPr>
            <w:tcW w:w="763" w:type="dxa"/>
            <w:tcBorders>
              <w:tl2br w:val="nil"/>
              <w:tr2bl w:val="nil"/>
            </w:tcBorders>
            <w:vAlign w:val="center"/>
          </w:tcPr>
          <w:p w:rsidR="00D474EB" w:rsidRDefault="00D474EB" w:rsidP="00DD563D">
            <w:pPr>
              <w:spacing w:line="340" w:lineRule="exact"/>
              <w:jc w:val="center"/>
              <w:rPr>
                <w:rFonts w:eastAsia="仿宋_GB2312"/>
              </w:rPr>
            </w:pPr>
            <w:r>
              <w:rPr>
                <w:rFonts w:eastAsia="仿宋_GB2312"/>
                <w:color w:val="000000"/>
              </w:rPr>
              <w:t>市市场监督管理局</w:t>
            </w:r>
          </w:p>
        </w:tc>
        <w:tc>
          <w:tcPr>
            <w:tcW w:w="3804" w:type="dxa"/>
            <w:tcBorders>
              <w:tl2br w:val="nil"/>
              <w:tr2bl w:val="nil"/>
            </w:tcBorders>
            <w:vAlign w:val="center"/>
          </w:tcPr>
          <w:p w:rsidR="00D474EB" w:rsidRDefault="00D474EB" w:rsidP="00DD563D">
            <w:pPr>
              <w:widowControl/>
              <w:spacing w:line="340" w:lineRule="exact"/>
              <w:textAlignment w:val="center"/>
              <w:rPr>
                <w:rFonts w:eastAsia="仿宋_GB2312"/>
                <w:color w:val="000000"/>
              </w:rPr>
            </w:pPr>
            <w:r>
              <w:rPr>
                <w:rFonts w:eastAsia="仿宋_GB2312"/>
                <w:color w:val="000000"/>
              </w:rPr>
              <w:t>重点宣传《公司法》《商标法》《广告法》《反不正当竞争法》《消费者权益保护法》《标准化法》《计量法》《特种设备安全法》《产品质量法》《食品安全法》《药品管理法》《疫苗管理法》《专利法》《价格法》《广东省市场监管条例》《无证无照经营查处办法》《企业信息公示暂行条例》《食品安全法实施条例》《工业产品生产许可证管理条例》《医疗器械监督管理条例》《网络交易管理办法》</w:t>
            </w:r>
            <w:r>
              <w:rPr>
                <w:rFonts w:eastAsia="仿宋_GB2312"/>
              </w:rPr>
              <w:t>《广东省反走私综合治理条例》《广东省反走私举报奖励办法》</w:t>
            </w:r>
            <w:r>
              <w:rPr>
                <w:rFonts w:eastAsia="仿宋_GB2312"/>
                <w:color w:val="000000"/>
              </w:rPr>
              <w:t>等与市场监管职能有关的法律法规。</w:t>
            </w:r>
          </w:p>
        </w:tc>
        <w:tc>
          <w:tcPr>
            <w:tcW w:w="1440" w:type="dxa"/>
            <w:tcBorders>
              <w:tl2br w:val="nil"/>
              <w:tr2bl w:val="nil"/>
            </w:tcBorders>
            <w:vAlign w:val="center"/>
          </w:tcPr>
          <w:p w:rsidR="00D474EB" w:rsidRDefault="00D474EB" w:rsidP="00DD563D">
            <w:pPr>
              <w:widowControl/>
              <w:spacing w:line="340" w:lineRule="exact"/>
              <w:jc w:val="center"/>
              <w:textAlignment w:val="center"/>
              <w:rPr>
                <w:rFonts w:eastAsia="仿宋_GB2312"/>
                <w:color w:val="000000"/>
              </w:rPr>
            </w:pPr>
            <w:r>
              <w:rPr>
                <w:rFonts w:eastAsia="仿宋_GB2312"/>
                <w:color w:val="000000"/>
              </w:rPr>
              <w:t>相关企业、经营者、消费者、监管执法人员、全体公民</w:t>
            </w:r>
          </w:p>
        </w:tc>
        <w:tc>
          <w:tcPr>
            <w:tcW w:w="2235" w:type="dxa"/>
            <w:tcBorders>
              <w:tl2br w:val="nil"/>
              <w:tr2bl w:val="nil"/>
            </w:tcBorders>
            <w:vAlign w:val="center"/>
          </w:tcPr>
          <w:p w:rsidR="00D474EB" w:rsidRDefault="00D474EB" w:rsidP="00DD563D">
            <w:pPr>
              <w:widowControl/>
              <w:spacing w:line="340" w:lineRule="exact"/>
              <w:textAlignment w:val="center"/>
              <w:rPr>
                <w:rFonts w:eastAsia="仿宋_GB2312"/>
                <w:color w:val="000000"/>
              </w:rPr>
            </w:pPr>
            <w:r>
              <w:rPr>
                <w:rFonts w:eastAsia="仿宋_GB2312"/>
                <w:color w:val="000000"/>
              </w:rPr>
              <w:t>落实</w:t>
            </w:r>
            <w:r>
              <w:rPr>
                <w:rFonts w:eastAsia="仿宋_GB2312" w:hint="eastAsia"/>
                <w:color w:val="000000"/>
              </w:rPr>
              <w:t>“</w:t>
            </w:r>
            <w:r>
              <w:rPr>
                <w:rFonts w:eastAsia="仿宋_GB2312"/>
                <w:color w:val="000000"/>
              </w:rPr>
              <w:t>谁执法谁普法</w:t>
            </w:r>
            <w:r>
              <w:rPr>
                <w:rFonts w:eastAsia="仿宋_GB2312" w:hint="eastAsia"/>
                <w:color w:val="000000"/>
              </w:rPr>
              <w:t>”</w:t>
            </w:r>
            <w:r>
              <w:rPr>
                <w:rFonts w:eastAsia="仿宋_GB2312"/>
                <w:color w:val="000000"/>
              </w:rPr>
              <w:t>责任制，提高相关企业、经营者、消费者、监管执法人员、全体公民对法律法规的理解，落实主体责任，增强法治意识，在全社会形成</w:t>
            </w:r>
            <w:r>
              <w:rPr>
                <w:rFonts w:eastAsia="仿宋_GB2312" w:hint="eastAsia"/>
                <w:color w:val="000000"/>
              </w:rPr>
              <w:t>“</w:t>
            </w:r>
            <w:r>
              <w:rPr>
                <w:rFonts w:eastAsia="仿宋_GB2312"/>
                <w:color w:val="000000"/>
              </w:rPr>
              <w:t>尊法学法守法用法</w:t>
            </w:r>
            <w:r>
              <w:rPr>
                <w:rFonts w:eastAsia="仿宋_GB2312" w:hint="eastAsia"/>
                <w:color w:val="000000"/>
              </w:rPr>
              <w:t>”</w:t>
            </w:r>
            <w:r>
              <w:rPr>
                <w:rFonts w:eastAsia="仿宋_GB2312"/>
                <w:color w:val="000000"/>
              </w:rPr>
              <w:t>的良好法治氛围。</w:t>
            </w:r>
          </w:p>
        </w:tc>
        <w:tc>
          <w:tcPr>
            <w:tcW w:w="5846" w:type="dxa"/>
            <w:tcBorders>
              <w:tl2br w:val="nil"/>
              <w:tr2bl w:val="nil"/>
            </w:tcBorders>
            <w:vAlign w:val="center"/>
          </w:tcPr>
          <w:p w:rsidR="00D474EB" w:rsidRDefault="00D474EB" w:rsidP="00DD563D">
            <w:pPr>
              <w:widowControl/>
              <w:spacing w:line="340" w:lineRule="exact"/>
              <w:textAlignment w:val="center"/>
              <w:rPr>
                <w:rFonts w:eastAsia="仿宋_GB2312"/>
                <w:color w:val="000000"/>
              </w:rPr>
            </w:pPr>
            <w:r>
              <w:rPr>
                <w:rFonts w:eastAsia="仿宋_GB2312"/>
                <w:color w:val="000000"/>
              </w:rPr>
              <w:t>1</w:t>
            </w:r>
            <w:r>
              <w:rPr>
                <w:rFonts w:eastAsia="仿宋_GB2312" w:hint="eastAsia"/>
                <w:color w:val="000000"/>
              </w:rPr>
              <w:t>．</w:t>
            </w:r>
            <w:r>
              <w:rPr>
                <w:rFonts w:eastAsia="仿宋_GB2312"/>
                <w:color w:val="000000"/>
              </w:rPr>
              <w:t>开展领导干部会前学法、全员干部专题学法培训等，提高系统内执法人员法律素质和业务能力。</w:t>
            </w:r>
          </w:p>
          <w:p w:rsidR="00D474EB" w:rsidRDefault="00D474EB" w:rsidP="00DD563D">
            <w:pPr>
              <w:widowControl/>
              <w:spacing w:line="340" w:lineRule="exact"/>
              <w:jc w:val="left"/>
              <w:textAlignment w:val="center"/>
              <w:rPr>
                <w:rFonts w:eastAsia="仿宋_GB2312"/>
                <w:color w:val="000000"/>
              </w:rPr>
            </w:pPr>
            <w:r>
              <w:rPr>
                <w:rFonts w:eastAsia="仿宋_GB2312"/>
                <w:color w:val="000000"/>
              </w:rPr>
              <w:t>2</w:t>
            </w:r>
            <w:r>
              <w:rPr>
                <w:rFonts w:eastAsia="仿宋_GB2312" w:hint="eastAsia"/>
                <w:color w:val="000000"/>
              </w:rPr>
              <w:t>．</w:t>
            </w:r>
            <w:r>
              <w:rPr>
                <w:rFonts w:eastAsia="仿宋_GB2312"/>
                <w:color w:val="000000"/>
              </w:rPr>
              <w:t>开展法律专题知识讲座、</w:t>
            </w:r>
            <w:r>
              <w:rPr>
                <w:rFonts w:eastAsia="仿宋_GB2312" w:hint="eastAsia"/>
                <w:color w:val="000000"/>
              </w:rPr>
              <w:t>“</w:t>
            </w:r>
            <w:r>
              <w:rPr>
                <w:rFonts w:eastAsia="仿宋_GB2312"/>
                <w:color w:val="000000"/>
              </w:rPr>
              <w:t>法律六进</w:t>
            </w:r>
            <w:r>
              <w:rPr>
                <w:rFonts w:eastAsia="仿宋_GB2312" w:hint="eastAsia"/>
                <w:color w:val="000000"/>
              </w:rPr>
              <w:t>”</w:t>
            </w:r>
            <w:r>
              <w:rPr>
                <w:rFonts w:eastAsia="仿宋_GB2312"/>
                <w:color w:val="000000"/>
              </w:rPr>
              <w:t>等活动，增强企业、经营者守法经营意识和消费者维权意识。</w:t>
            </w:r>
          </w:p>
          <w:p w:rsidR="00D474EB" w:rsidRDefault="00D474EB" w:rsidP="00DD563D">
            <w:pPr>
              <w:widowControl/>
              <w:spacing w:line="340" w:lineRule="exact"/>
              <w:textAlignment w:val="center"/>
              <w:rPr>
                <w:rFonts w:eastAsia="仿宋_GB2312"/>
                <w:color w:val="000000"/>
              </w:rPr>
            </w:pPr>
            <w:r>
              <w:rPr>
                <w:rFonts w:eastAsia="仿宋_GB2312"/>
                <w:color w:val="000000"/>
              </w:rPr>
              <w:t>3</w:t>
            </w:r>
            <w:r>
              <w:rPr>
                <w:rFonts w:eastAsia="仿宋_GB2312" w:hint="eastAsia"/>
                <w:color w:val="000000"/>
              </w:rPr>
              <w:t>．</w:t>
            </w:r>
            <w:r>
              <w:rPr>
                <w:rFonts w:eastAsia="仿宋_GB2312"/>
                <w:color w:val="000000"/>
              </w:rPr>
              <w:t>充分利用</w:t>
            </w:r>
            <w:r>
              <w:rPr>
                <w:rFonts w:eastAsia="仿宋_GB2312" w:hint="eastAsia"/>
                <w:color w:val="000000"/>
              </w:rPr>
              <w:t>“</w:t>
            </w:r>
            <w:r>
              <w:rPr>
                <w:rFonts w:eastAsia="仿宋_GB2312"/>
                <w:color w:val="000000"/>
              </w:rPr>
              <w:t>3•15</w:t>
            </w:r>
            <w:r>
              <w:rPr>
                <w:rFonts w:eastAsia="仿宋_GB2312"/>
                <w:color w:val="000000"/>
              </w:rPr>
              <w:t>国际消费者权益日</w:t>
            </w:r>
            <w:r>
              <w:rPr>
                <w:rFonts w:eastAsia="仿宋_GB2312" w:hint="eastAsia"/>
                <w:color w:val="000000"/>
              </w:rPr>
              <w:t>”“</w:t>
            </w:r>
            <w:r>
              <w:rPr>
                <w:rFonts w:eastAsia="仿宋_GB2312"/>
                <w:color w:val="000000"/>
              </w:rPr>
              <w:t>4•26</w:t>
            </w:r>
            <w:r>
              <w:rPr>
                <w:rFonts w:eastAsia="仿宋_GB2312"/>
                <w:color w:val="000000"/>
              </w:rPr>
              <w:t>世界知识产权日</w:t>
            </w:r>
            <w:r>
              <w:rPr>
                <w:rFonts w:eastAsia="仿宋_GB2312" w:hint="eastAsia"/>
                <w:color w:val="000000"/>
              </w:rPr>
              <w:t>”“</w:t>
            </w:r>
            <w:r>
              <w:rPr>
                <w:rFonts w:eastAsia="仿宋_GB2312"/>
                <w:color w:val="000000"/>
              </w:rPr>
              <w:t>5•20</w:t>
            </w:r>
            <w:r>
              <w:rPr>
                <w:rFonts w:eastAsia="仿宋_GB2312"/>
                <w:color w:val="000000"/>
              </w:rPr>
              <w:t>世界计量日</w:t>
            </w:r>
            <w:r>
              <w:rPr>
                <w:rFonts w:eastAsia="仿宋_GB2312" w:hint="eastAsia"/>
                <w:color w:val="000000"/>
              </w:rPr>
              <w:t>”“</w:t>
            </w:r>
            <w:r>
              <w:rPr>
                <w:rFonts w:eastAsia="仿宋_GB2312"/>
                <w:color w:val="000000"/>
              </w:rPr>
              <w:t>12•4</w:t>
            </w:r>
            <w:r>
              <w:rPr>
                <w:rFonts w:eastAsia="仿宋_GB2312"/>
                <w:color w:val="000000"/>
              </w:rPr>
              <w:t>宪法宣传日</w:t>
            </w:r>
            <w:r>
              <w:rPr>
                <w:rFonts w:eastAsia="仿宋_GB2312" w:hint="eastAsia"/>
                <w:color w:val="000000"/>
              </w:rPr>
              <w:t>”</w:t>
            </w:r>
            <w:r>
              <w:rPr>
                <w:rFonts w:eastAsia="仿宋_GB2312"/>
                <w:color w:val="000000"/>
              </w:rPr>
              <w:t>和知识产权宣传周、专利周、食品安全宣传周、法治宣传周、安全用药月、质量月等开展集中法治宣传咨询和社会公益普法活动，增强全民尊法学法守法用法意识。</w:t>
            </w:r>
          </w:p>
          <w:p w:rsidR="00D474EB" w:rsidRDefault="00D474EB" w:rsidP="00DD563D">
            <w:pPr>
              <w:widowControl/>
              <w:spacing w:line="340" w:lineRule="exact"/>
              <w:jc w:val="left"/>
              <w:textAlignment w:val="center"/>
              <w:rPr>
                <w:rFonts w:eastAsia="仿宋_GB2312"/>
                <w:color w:val="000000"/>
              </w:rPr>
            </w:pPr>
            <w:r>
              <w:rPr>
                <w:rFonts w:eastAsia="仿宋_GB2312"/>
                <w:color w:val="000000"/>
              </w:rPr>
              <w:t>4</w:t>
            </w:r>
            <w:r>
              <w:rPr>
                <w:rFonts w:eastAsia="仿宋_GB2312" w:hint="eastAsia"/>
                <w:color w:val="000000"/>
              </w:rPr>
              <w:t>．</w:t>
            </w:r>
            <w:r>
              <w:rPr>
                <w:rFonts w:eastAsia="仿宋_GB2312"/>
                <w:color w:val="000000"/>
              </w:rPr>
              <w:t>广泛利用广播、电视、报纸等传统媒体和门户网站、微信、</w:t>
            </w:r>
            <w:proofErr w:type="gramStart"/>
            <w:r>
              <w:rPr>
                <w:rFonts w:eastAsia="仿宋_GB2312"/>
                <w:color w:val="000000"/>
              </w:rPr>
              <w:t>微博等</w:t>
            </w:r>
            <w:proofErr w:type="gramEnd"/>
            <w:r>
              <w:rPr>
                <w:rFonts w:eastAsia="仿宋_GB2312"/>
                <w:color w:val="000000"/>
              </w:rPr>
              <w:t>网络新型媒体开展法律法规宣传，推出</w:t>
            </w:r>
            <w:r>
              <w:rPr>
                <w:rFonts w:eastAsia="仿宋_GB2312" w:hint="eastAsia"/>
                <w:color w:val="000000"/>
              </w:rPr>
              <w:t>“</w:t>
            </w:r>
            <w:r>
              <w:rPr>
                <w:rFonts w:eastAsia="仿宋_GB2312"/>
                <w:color w:val="000000"/>
              </w:rPr>
              <w:t>一监到底</w:t>
            </w:r>
            <w:r>
              <w:rPr>
                <w:rFonts w:eastAsia="仿宋_GB2312" w:hint="eastAsia"/>
                <w:color w:val="000000"/>
              </w:rPr>
              <w:t>”</w:t>
            </w:r>
            <w:r>
              <w:rPr>
                <w:rFonts w:eastAsia="仿宋_GB2312"/>
                <w:color w:val="000000"/>
              </w:rPr>
              <w:t>等网络直播执法模式开展普法宣传，推动全民共同参与执法普法，形成全社会良好法治氛围。</w:t>
            </w:r>
          </w:p>
        </w:tc>
      </w:tr>
    </w:tbl>
    <w:p w:rsidR="002542D6" w:rsidRDefault="002542D6">
      <w:pPr>
        <w:rPr>
          <w:rFonts w:hint="eastAsia"/>
        </w:rPr>
      </w:pPr>
    </w:p>
    <w:p w:rsidR="00272620" w:rsidRDefault="00272620">
      <w:pPr>
        <w:rPr>
          <w:rFonts w:hint="eastAsia"/>
        </w:rPr>
      </w:pPr>
    </w:p>
    <w:p w:rsidR="00272620" w:rsidRDefault="00272620">
      <w:pPr>
        <w:rPr>
          <w:rFonts w:hint="eastAsia"/>
        </w:rPr>
      </w:pPr>
    </w:p>
    <w:p w:rsidR="00272620" w:rsidRPr="00272620" w:rsidRDefault="00272620" w:rsidP="00272620">
      <w:pPr>
        <w:spacing w:line="700" w:lineRule="exact"/>
        <w:jc w:val="center"/>
        <w:rPr>
          <w:rFonts w:eastAsia="方正小标宋简体" w:hint="eastAsia"/>
          <w:sz w:val="44"/>
          <w:szCs w:val="44"/>
          <w:lang w:val="en-US" w:eastAsia="zh-CN"/>
        </w:rPr>
      </w:pPr>
      <w:r w:rsidRPr="00272620">
        <w:rPr>
          <w:rFonts w:eastAsia="方正小标宋简体" w:hint="eastAsia"/>
          <w:sz w:val="44"/>
          <w:szCs w:val="44"/>
          <w:lang w:val="en-US" w:eastAsia="zh-CN"/>
        </w:rPr>
        <w:lastRenderedPageBreak/>
        <w:t>江门市市场监督管理局民法典普法责任清单</w:t>
      </w:r>
    </w:p>
    <w:p w:rsidR="00272620" w:rsidRPr="00272620" w:rsidRDefault="00272620" w:rsidP="00272620">
      <w:pPr>
        <w:spacing w:line="240" w:lineRule="exact"/>
        <w:ind w:firstLineChars="200" w:firstLine="640"/>
        <w:rPr>
          <w:rFonts w:eastAsia="仿宋_GB2312" w:hint="eastAsia"/>
          <w:color w:val="000000"/>
          <w:sz w:val="32"/>
          <w:szCs w:val="32"/>
          <w:lang w:val="en-US"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8"/>
        <w:gridCol w:w="2835"/>
        <w:gridCol w:w="1890"/>
        <w:gridCol w:w="1485"/>
        <w:gridCol w:w="2171"/>
        <w:gridCol w:w="1469"/>
        <w:gridCol w:w="4374"/>
      </w:tblGrid>
      <w:tr w:rsidR="00272620" w:rsidRPr="00272620" w:rsidTr="00DD563D">
        <w:trPr>
          <w:trHeight w:val="703"/>
          <w:jc w:val="center"/>
        </w:trPr>
        <w:tc>
          <w:tcPr>
            <w:tcW w:w="838"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序号</w:t>
            </w:r>
          </w:p>
        </w:tc>
        <w:tc>
          <w:tcPr>
            <w:tcW w:w="2835"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普法内容</w:t>
            </w:r>
          </w:p>
        </w:tc>
        <w:tc>
          <w:tcPr>
            <w:tcW w:w="1890"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责任科室</w:t>
            </w:r>
          </w:p>
        </w:tc>
        <w:tc>
          <w:tcPr>
            <w:tcW w:w="1485"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普法对象</w:t>
            </w:r>
          </w:p>
        </w:tc>
        <w:tc>
          <w:tcPr>
            <w:tcW w:w="2171"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具体举措</w:t>
            </w:r>
          </w:p>
        </w:tc>
        <w:tc>
          <w:tcPr>
            <w:tcW w:w="1469"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完成时限</w:t>
            </w:r>
          </w:p>
        </w:tc>
        <w:tc>
          <w:tcPr>
            <w:tcW w:w="4374" w:type="dxa"/>
            <w:tcBorders>
              <w:tl2br w:val="nil"/>
              <w:tr2bl w:val="nil"/>
            </w:tcBorders>
            <w:vAlign w:val="center"/>
          </w:tcPr>
          <w:p w:rsidR="00272620" w:rsidRPr="00272620" w:rsidRDefault="00272620" w:rsidP="00272620">
            <w:pPr>
              <w:spacing w:line="340" w:lineRule="exact"/>
              <w:jc w:val="center"/>
              <w:rPr>
                <w:rFonts w:ascii="黑体" w:eastAsia="黑体" w:hAnsi="黑体" w:cs="黑体" w:hint="eastAsia"/>
                <w:sz w:val="28"/>
                <w:szCs w:val="28"/>
              </w:rPr>
            </w:pPr>
            <w:r w:rsidRPr="00272620">
              <w:rPr>
                <w:rFonts w:ascii="黑体" w:eastAsia="黑体" w:hAnsi="黑体" w:cs="黑体" w:hint="eastAsia"/>
                <w:sz w:val="28"/>
                <w:szCs w:val="28"/>
              </w:rPr>
              <w:t>普法目标</w:t>
            </w:r>
          </w:p>
        </w:tc>
      </w:tr>
      <w:tr w:rsidR="00272620" w:rsidRPr="00272620" w:rsidTr="00DD563D">
        <w:trPr>
          <w:trHeight w:val="1910"/>
          <w:jc w:val="center"/>
        </w:trPr>
        <w:tc>
          <w:tcPr>
            <w:tcW w:w="838" w:type="dxa"/>
            <w:tcBorders>
              <w:tl2br w:val="nil"/>
              <w:tr2bl w:val="nil"/>
            </w:tcBorders>
            <w:vAlign w:val="center"/>
          </w:tcPr>
          <w:p w:rsidR="00272620" w:rsidRPr="00272620" w:rsidRDefault="00272620" w:rsidP="00272620">
            <w:pPr>
              <w:spacing w:line="340" w:lineRule="exact"/>
              <w:jc w:val="center"/>
              <w:rPr>
                <w:rFonts w:eastAsia="仿宋_GB2312"/>
                <w:sz w:val="28"/>
                <w:szCs w:val="28"/>
              </w:rPr>
            </w:pPr>
            <w:r w:rsidRPr="00272620">
              <w:rPr>
                <w:rFonts w:eastAsia="仿宋_GB2312"/>
                <w:sz w:val="28"/>
                <w:szCs w:val="28"/>
              </w:rPr>
              <w:t>1</w:t>
            </w:r>
          </w:p>
        </w:tc>
        <w:tc>
          <w:tcPr>
            <w:tcW w:w="2835" w:type="dxa"/>
            <w:tcBorders>
              <w:tl2br w:val="nil"/>
              <w:tr2bl w:val="nil"/>
            </w:tcBorders>
            <w:vAlign w:val="center"/>
          </w:tcPr>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第一编</w:t>
            </w:r>
            <w:r w:rsidRPr="00272620">
              <w:rPr>
                <w:rFonts w:eastAsia="仿宋_GB2312"/>
                <w:sz w:val="28"/>
                <w:szCs w:val="28"/>
              </w:rPr>
              <w:t xml:space="preserve"> </w:t>
            </w:r>
            <w:r w:rsidRPr="00272620">
              <w:rPr>
                <w:rFonts w:eastAsia="仿宋_GB2312"/>
                <w:sz w:val="28"/>
                <w:szCs w:val="28"/>
              </w:rPr>
              <w:t>总则</w:t>
            </w:r>
          </w:p>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第二章</w:t>
            </w:r>
            <w:r w:rsidRPr="00272620">
              <w:rPr>
                <w:rFonts w:eastAsia="仿宋_GB2312"/>
                <w:sz w:val="28"/>
                <w:szCs w:val="28"/>
              </w:rPr>
              <w:t xml:space="preserve"> </w:t>
            </w:r>
            <w:r w:rsidRPr="00272620">
              <w:rPr>
                <w:rFonts w:eastAsia="仿宋_GB2312"/>
                <w:sz w:val="28"/>
                <w:szCs w:val="28"/>
              </w:rPr>
              <w:t>自然人</w:t>
            </w:r>
          </w:p>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第三章</w:t>
            </w:r>
            <w:r w:rsidRPr="00272620">
              <w:rPr>
                <w:rFonts w:eastAsia="仿宋_GB2312" w:hint="eastAsia"/>
                <w:sz w:val="28"/>
                <w:szCs w:val="28"/>
              </w:rPr>
              <w:t xml:space="preserve"> </w:t>
            </w:r>
            <w:r w:rsidRPr="00272620">
              <w:rPr>
                <w:rFonts w:eastAsia="仿宋_GB2312"/>
                <w:sz w:val="28"/>
                <w:szCs w:val="28"/>
              </w:rPr>
              <w:t>法人</w:t>
            </w:r>
          </w:p>
          <w:p w:rsidR="00272620" w:rsidRPr="00272620" w:rsidRDefault="00272620" w:rsidP="00272620">
            <w:pPr>
              <w:spacing w:line="340" w:lineRule="exact"/>
              <w:ind w:left="1120" w:hangingChars="400" w:hanging="1120"/>
              <w:jc w:val="left"/>
              <w:rPr>
                <w:rFonts w:eastAsia="仿宋_GB2312"/>
                <w:sz w:val="28"/>
                <w:szCs w:val="28"/>
              </w:rPr>
            </w:pPr>
            <w:r w:rsidRPr="00272620">
              <w:rPr>
                <w:rFonts w:eastAsia="仿宋_GB2312"/>
                <w:sz w:val="28"/>
                <w:szCs w:val="28"/>
              </w:rPr>
              <w:t>第四章</w:t>
            </w:r>
            <w:r w:rsidRPr="00272620">
              <w:rPr>
                <w:rFonts w:eastAsia="仿宋_GB2312"/>
                <w:sz w:val="28"/>
                <w:szCs w:val="28"/>
              </w:rPr>
              <w:t xml:space="preserve"> </w:t>
            </w:r>
            <w:r w:rsidRPr="00272620">
              <w:rPr>
                <w:rFonts w:eastAsia="仿宋_GB2312"/>
                <w:sz w:val="28"/>
                <w:szCs w:val="28"/>
              </w:rPr>
              <w:t>非法人组织</w:t>
            </w:r>
          </w:p>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第七章</w:t>
            </w:r>
            <w:r w:rsidRPr="00272620">
              <w:rPr>
                <w:rFonts w:eastAsia="仿宋_GB2312"/>
                <w:sz w:val="28"/>
                <w:szCs w:val="28"/>
              </w:rPr>
              <w:t xml:space="preserve"> </w:t>
            </w:r>
            <w:r w:rsidRPr="00272620">
              <w:rPr>
                <w:rFonts w:eastAsia="仿宋_GB2312"/>
                <w:sz w:val="28"/>
                <w:szCs w:val="28"/>
              </w:rPr>
              <w:t>代</w:t>
            </w:r>
            <w:r w:rsidRPr="00272620">
              <w:rPr>
                <w:rFonts w:eastAsia="仿宋_GB2312"/>
                <w:sz w:val="28"/>
                <w:szCs w:val="28"/>
              </w:rPr>
              <w:t xml:space="preserve"> </w:t>
            </w:r>
            <w:r w:rsidRPr="00272620">
              <w:rPr>
                <w:rFonts w:eastAsia="仿宋_GB2312"/>
                <w:sz w:val="28"/>
                <w:szCs w:val="28"/>
              </w:rPr>
              <w:t>理</w:t>
            </w:r>
          </w:p>
        </w:tc>
        <w:tc>
          <w:tcPr>
            <w:tcW w:w="1890" w:type="dxa"/>
            <w:tcBorders>
              <w:tl2br w:val="nil"/>
              <w:tr2bl w:val="nil"/>
            </w:tcBorders>
            <w:vAlign w:val="center"/>
          </w:tcPr>
          <w:p w:rsidR="00272620" w:rsidRPr="00272620" w:rsidRDefault="00272620" w:rsidP="00272620">
            <w:pPr>
              <w:spacing w:line="340" w:lineRule="exact"/>
              <w:rPr>
                <w:rFonts w:eastAsia="仿宋_GB2312"/>
                <w:sz w:val="28"/>
                <w:szCs w:val="28"/>
              </w:rPr>
            </w:pPr>
            <w:r w:rsidRPr="00272620">
              <w:rPr>
                <w:rFonts w:eastAsia="仿宋_GB2312"/>
                <w:sz w:val="28"/>
                <w:szCs w:val="28"/>
              </w:rPr>
              <w:t>登记</w:t>
            </w:r>
            <w:proofErr w:type="gramStart"/>
            <w:r w:rsidRPr="00272620">
              <w:rPr>
                <w:rFonts w:eastAsia="仿宋_GB2312"/>
                <w:sz w:val="28"/>
                <w:szCs w:val="28"/>
              </w:rPr>
              <w:t>注册科</w:t>
            </w:r>
            <w:proofErr w:type="gramEnd"/>
          </w:p>
        </w:tc>
        <w:tc>
          <w:tcPr>
            <w:tcW w:w="1485" w:type="dxa"/>
            <w:vMerge w:val="restart"/>
            <w:tcBorders>
              <w:tl2br w:val="nil"/>
              <w:tr2bl w:val="nil"/>
            </w:tcBorders>
            <w:vAlign w:val="center"/>
          </w:tcPr>
          <w:p w:rsidR="00272620" w:rsidRPr="00272620" w:rsidRDefault="00272620" w:rsidP="00272620">
            <w:pPr>
              <w:spacing w:line="340" w:lineRule="exact"/>
              <w:rPr>
                <w:rFonts w:eastAsia="仿宋_GB2312"/>
                <w:sz w:val="28"/>
                <w:szCs w:val="28"/>
              </w:rPr>
            </w:pPr>
            <w:r w:rsidRPr="00272620">
              <w:rPr>
                <w:rFonts w:eastAsia="仿宋_GB2312"/>
                <w:sz w:val="28"/>
                <w:szCs w:val="28"/>
              </w:rPr>
              <w:t>全市市场监管系统工作人员、行政相对人及社会公众</w:t>
            </w:r>
          </w:p>
        </w:tc>
        <w:tc>
          <w:tcPr>
            <w:tcW w:w="2171" w:type="dxa"/>
            <w:vMerge w:val="restart"/>
            <w:tcBorders>
              <w:tl2br w:val="nil"/>
              <w:tr2bl w:val="nil"/>
            </w:tcBorders>
            <w:vAlign w:val="center"/>
          </w:tcPr>
          <w:p w:rsidR="00272620" w:rsidRPr="00272620" w:rsidRDefault="00272620" w:rsidP="00272620">
            <w:pPr>
              <w:spacing w:line="340" w:lineRule="exact"/>
              <w:rPr>
                <w:rFonts w:eastAsia="仿宋_GB2312"/>
                <w:sz w:val="28"/>
                <w:szCs w:val="28"/>
              </w:rPr>
            </w:pPr>
            <w:r w:rsidRPr="00272620">
              <w:rPr>
                <w:rFonts w:eastAsia="仿宋_GB2312"/>
                <w:sz w:val="28"/>
                <w:szCs w:val="28"/>
              </w:rPr>
              <w:t xml:space="preserve">1. </w:t>
            </w:r>
            <w:r w:rsidRPr="00272620">
              <w:rPr>
                <w:rFonts w:eastAsia="仿宋_GB2312"/>
                <w:sz w:val="28"/>
                <w:szCs w:val="28"/>
              </w:rPr>
              <w:t>在年度培训计划内增加相应教学内容、组织参与网上学习、编印学习资料以及典型案例汇编等方式普法。</w:t>
            </w:r>
          </w:p>
          <w:p w:rsidR="00272620" w:rsidRPr="00272620" w:rsidRDefault="00272620" w:rsidP="00272620">
            <w:pPr>
              <w:spacing w:line="340" w:lineRule="exact"/>
              <w:rPr>
                <w:rFonts w:eastAsia="仿宋_GB2312"/>
                <w:sz w:val="28"/>
                <w:szCs w:val="28"/>
              </w:rPr>
            </w:pPr>
            <w:r w:rsidRPr="00272620">
              <w:rPr>
                <w:rFonts w:eastAsia="仿宋_GB2312"/>
                <w:sz w:val="28"/>
                <w:szCs w:val="28"/>
              </w:rPr>
              <w:t>2.</w:t>
            </w:r>
            <w:r w:rsidRPr="00272620">
              <w:rPr>
                <w:rFonts w:eastAsia="仿宋_GB2312"/>
                <w:sz w:val="28"/>
                <w:szCs w:val="28"/>
              </w:rPr>
              <w:t>在执法工作中对公民、法人和其他组织，通过说理式执法、编制执法手册等方式宣传普及相关法律知识。</w:t>
            </w:r>
          </w:p>
        </w:tc>
        <w:tc>
          <w:tcPr>
            <w:tcW w:w="1469" w:type="dxa"/>
            <w:vMerge w:val="restart"/>
            <w:tcBorders>
              <w:tl2br w:val="nil"/>
              <w:tr2bl w:val="nil"/>
            </w:tcBorders>
            <w:vAlign w:val="center"/>
          </w:tcPr>
          <w:p w:rsidR="00272620" w:rsidRPr="00272620" w:rsidRDefault="00272620" w:rsidP="00272620">
            <w:pPr>
              <w:spacing w:line="340" w:lineRule="exact"/>
              <w:jc w:val="center"/>
              <w:rPr>
                <w:rFonts w:eastAsia="仿宋_GB2312"/>
                <w:sz w:val="28"/>
                <w:szCs w:val="28"/>
              </w:rPr>
            </w:pPr>
            <w:r w:rsidRPr="00272620">
              <w:rPr>
                <w:rFonts w:eastAsia="仿宋_GB2312"/>
                <w:sz w:val="28"/>
                <w:szCs w:val="28"/>
              </w:rPr>
              <w:t>常年</w:t>
            </w:r>
          </w:p>
        </w:tc>
        <w:tc>
          <w:tcPr>
            <w:tcW w:w="4374" w:type="dxa"/>
            <w:vMerge w:val="restart"/>
            <w:tcBorders>
              <w:tl2br w:val="nil"/>
              <w:tr2bl w:val="nil"/>
            </w:tcBorders>
            <w:vAlign w:val="center"/>
          </w:tcPr>
          <w:p w:rsidR="00272620" w:rsidRPr="00272620" w:rsidRDefault="00272620" w:rsidP="00272620">
            <w:pPr>
              <w:spacing w:line="340" w:lineRule="exact"/>
              <w:rPr>
                <w:rFonts w:eastAsia="仿宋_GB2312"/>
                <w:sz w:val="28"/>
                <w:szCs w:val="28"/>
              </w:rPr>
            </w:pPr>
            <w:r w:rsidRPr="00272620">
              <w:rPr>
                <w:rFonts w:eastAsia="仿宋_GB2312"/>
                <w:sz w:val="28"/>
                <w:szCs w:val="28"/>
              </w:rPr>
              <w:t>1.</w:t>
            </w:r>
            <w:r w:rsidRPr="00272620">
              <w:rPr>
                <w:rFonts w:eastAsia="仿宋_GB2312"/>
                <w:sz w:val="28"/>
                <w:szCs w:val="28"/>
              </w:rPr>
              <w:t>通过面向全市市场监管系统深入开展民法典普法工作，提高市场监管工作人员运用民法典维护人民权益、化解矛盾纠纷、促进社会和谐稳定能力和水平，营造依法行政、依法治理的良好氛围，保护民事权利不受侵犯、促进民事关系和谐有序。</w:t>
            </w:r>
          </w:p>
          <w:p w:rsidR="00272620" w:rsidRPr="00272620" w:rsidRDefault="00272620" w:rsidP="00272620">
            <w:pPr>
              <w:spacing w:line="340" w:lineRule="exact"/>
              <w:rPr>
                <w:rFonts w:eastAsia="仿宋_GB2312"/>
                <w:sz w:val="28"/>
                <w:szCs w:val="28"/>
              </w:rPr>
            </w:pPr>
            <w:r w:rsidRPr="00272620">
              <w:rPr>
                <w:rFonts w:eastAsia="仿宋_GB2312"/>
                <w:sz w:val="28"/>
                <w:szCs w:val="28"/>
              </w:rPr>
              <w:t>2.</w:t>
            </w:r>
            <w:r w:rsidRPr="00272620">
              <w:rPr>
                <w:rFonts w:eastAsia="仿宋_GB2312"/>
                <w:sz w:val="28"/>
                <w:szCs w:val="28"/>
              </w:rPr>
              <w:t>通过面向行政相对人和社会公众开展与市场监管相关的民法典规定普法工作，引导大家认识到民法典既是保护自身权益的法典，也是全体社会成员都必须遵循的规范，促进以思想自觉引领行动自觉，养成自觉守法的意识，形成遇事找法的习惯，增强依法维权意识和能力。</w:t>
            </w:r>
          </w:p>
        </w:tc>
      </w:tr>
      <w:tr w:rsidR="00272620" w:rsidRPr="00272620" w:rsidTr="00DD563D">
        <w:trPr>
          <w:trHeight w:val="1340"/>
          <w:jc w:val="center"/>
        </w:trPr>
        <w:tc>
          <w:tcPr>
            <w:tcW w:w="838" w:type="dxa"/>
            <w:tcBorders>
              <w:tl2br w:val="nil"/>
              <w:tr2bl w:val="nil"/>
            </w:tcBorders>
            <w:vAlign w:val="center"/>
          </w:tcPr>
          <w:p w:rsidR="00272620" w:rsidRPr="00272620" w:rsidRDefault="00272620" w:rsidP="00272620">
            <w:pPr>
              <w:spacing w:line="340" w:lineRule="exact"/>
              <w:jc w:val="center"/>
              <w:rPr>
                <w:rFonts w:eastAsia="仿宋_GB2312"/>
                <w:sz w:val="28"/>
                <w:szCs w:val="28"/>
              </w:rPr>
            </w:pPr>
            <w:r w:rsidRPr="00272620">
              <w:rPr>
                <w:rFonts w:eastAsia="仿宋_GB2312"/>
                <w:sz w:val="28"/>
                <w:szCs w:val="28"/>
              </w:rPr>
              <w:t>2</w:t>
            </w:r>
          </w:p>
        </w:tc>
        <w:tc>
          <w:tcPr>
            <w:tcW w:w="2835" w:type="dxa"/>
            <w:tcBorders>
              <w:tl2br w:val="nil"/>
              <w:tr2bl w:val="nil"/>
            </w:tcBorders>
            <w:vAlign w:val="center"/>
          </w:tcPr>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第三编</w:t>
            </w:r>
            <w:r w:rsidRPr="00272620">
              <w:rPr>
                <w:rFonts w:eastAsia="仿宋_GB2312"/>
                <w:sz w:val="28"/>
                <w:szCs w:val="28"/>
              </w:rPr>
              <w:t xml:space="preserve"> </w:t>
            </w:r>
            <w:r w:rsidRPr="00272620">
              <w:rPr>
                <w:rFonts w:eastAsia="仿宋_GB2312"/>
                <w:sz w:val="28"/>
                <w:szCs w:val="28"/>
              </w:rPr>
              <w:t>合同</w:t>
            </w:r>
          </w:p>
        </w:tc>
        <w:tc>
          <w:tcPr>
            <w:tcW w:w="1890" w:type="dxa"/>
            <w:tcBorders>
              <w:tl2br w:val="nil"/>
              <w:tr2bl w:val="nil"/>
            </w:tcBorders>
            <w:vAlign w:val="center"/>
          </w:tcPr>
          <w:p w:rsidR="00272620" w:rsidRPr="00272620" w:rsidRDefault="00272620" w:rsidP="00272620">
            <w:pPr>
              <w:spacing w:line="340" w:lineRule="exact"/>
              <w:rPr>
                <w:rFonts w:eastAsia="仿宋_GB2312"/>
                <w:sz w:val="28"/>
                <w:szCs w:val="28"/>
              </w:rPr>
            </w:pPr>
            <w:proofErr w:type="gramStart"/>
            <w:r w:rsidRPr="00272620">
              <w:rPr>
                <w:rFonts w:eastAsia="仿宋_GB2312"/>
                <w:sz w:val="28"/>
                <w:szCs w:val="28"/>
              </w:rPr>
              <w:t>网监科</w:t>
            </w:r>
            <w:proofErr w:type="gramEnd"/>
          </w:p>
        </w:tc>
        <w:tc>
          <w:tcPr>
            <w:tcW w:w="1485"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2171"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1469"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4374"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r>
      <w:tr w:rsidR="00272620" w:rsidRPr="00272620" w:rsidTr="00DD563D">
        <w:trPr>
          <w:trHeight w:val="3010"/>
          <w:jc w:val="center"/>
        </w:trPr>
        <w:tc>
          <w:tcPr>
            <w:tcW w:w="838" w:type="dxa"/>
            <w:tcBorders>
              <w:tl2br w:val="nil"/>
              <w:tr2bl w:val="nil"/>
            </w:tcBorders>
            <w:vAlign w:val="center"/>
          </w:tcPr>
          <w:p w:rsidR="00272620" w:rsidRPr="00272620" w:rsidRDefault="00272620" w:rsidP="00272620">
            <w:pPr>
              <w:spacing w:line="340" w:lineRule="exact"/>
              <w:jc w:val="center"/>
              <w:rPr>
                <w:rFonts w:eastAsia="仿宋_GB2312"/>
                <w:sz w:val="28"/>
                <w:szCs w:val="28"/>
              </w:rPr>
            </w:pPr>
            <w:r w:rsidRPr="00272620">
              <w:rPr>
                <w:rFonts w:eastAsia="仿宋_GB2312"/>
                <w:sz w:val="28"/>
                <w:szCs w:val="28"/>
              </w:rPr>
              <w:t>3</w:t>
            </w:r>
          </w:p>
        </w:tc>
        <w:tc>
          <w:tcPr>
            <w:tcW w:w="2835" w:type="dxa"/>
            <w:tcBorders>
              <w:tl2br w:val="nil"/>
              <w:tr2bl w:val="nil"/>
            </w:tcBorders>
            <w:vAlign w:val="center"/>
          </w:tcPr>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第七编</w:t>
            </w:r>
            <w:r w:rsidRPr="00272620">
              <w:rPr>
                <w:rFonts w:eastAsia="仿宋_GB2312"/>
                <w:sz w:val="28"/>
                <w:szCs w:val="28"/>
              </w:rPr>
              <w:t xml:space="preserve"> </w:t>
            </w:r>
            <w:r w:rsidRPr="00272620">
              <w:rPr>
                <w:rFonts w:eastAsia="仿宋_GB2312"/>
                <w:sz w:val="28"/>
                <w:szCs w:val="28"/>
              </w:rPr>
              <w:t>侵权责任</w:t>
            </w:r>
          </w:p>
          <w:p w:rsidR="00272620" w:rsidRPr="00272620" w:rsidRDefault="00272620" w:rsidP="00272620">
            <w:pPr>
              <w:spacing w:line="340" w:lineRule="exact"/>
              <w:jc w:val="left"/>
              <w:rPr>
                <w:rFonts w:eastAsia="仿宋_GB2312"/>
                <w:sz w:val="28"/>
                <w:szCs w:val="28"/>
              </w:rPr>
            </w:pPr>
            <w:r w:rsidRPr="00272620">
              <w:rPr>
                <w:rFonts w:eastAsia="仿宋_GB2312"/>
                <w:sz w:val="28"/>
                <w:szCs w:val="28"/>
              </w:rPr>
              <w:t>第</w:t>
            </w:r>
            <w:r w:rsidRPr="00272620">
              <w:rPr>
                <w:rFonts w:eastAsia="仿宋_GB2312"/>
                <w:color w:val="000000"/>
                <w:sz w:val="32"/>
                <w:szCs w:val="32"/>
                <w:lang w:val="en-US" w:eastAsia="zh-CN"/>
              </w:rPr>
              <w:t>四章</w:t>
            </w:r>
            <w:r w:rsidRPr="00272620">
              <w:rPr>
                <w:rFonts w:eastAsia="仿宋_GB2312"/>
                <w:sz w:val="28"/>
                <w:szCs w:val="28"/>
              </w:rPr>
              <w:t xml:space="preserve"> </w:t>
            </w:r>
            <w:r w:rsidRPr="00272620">
              <w:rPr>
                <w:rFonts w:eastAsia="仿宋_GB2312"/>
                <w:sz w:val="28"/>
                <w:szCs w:val="28"/>
              </w:rPr>
              <w:t>产品责任</w:t>
            </w:r>
          </w:p>
        </w:tc>
        <w:tc>
          <w:tcPr>
            <w:tcW w:w="1890" w:type="dxa"/>
            <w:tcBorders>
              <w:tl2br w:val="nil"/>
              <w:tr2bl w:val="nil"/>
            </w:tcBorders>
            <w:vAlign w:val="center"/>
          </w:tcPr>
          <w:p w:rsidR="00272620" w:rsidRPr="00272620" w:rsidRDefault="00272620" w:rsidP="00272620">
            <w:pPr>
              <w:spacing w:line="340" w:lineRule="exact"/>
              <w:rPr>
                <w:rFonts w:eastAsia="仿宋_GB2312"/>
                <w:sz w:val="28"/>
                <w:szCs w:val="28"/>
              </w:rPr>
            </w:pPr>
            <w:proofErr w:type="gramStart"/>
            <w:r w:rsidRPr="00272620">
              <w:rPr>
                <w:rFonts w:eastAsia="仿宋_GB2312"/>
                <w:sz w:val="28"/>
                <w:szCs w:val="28"/>
              </w:rPr>
              <w:t>网监科</w:t>
            </w:r>
            <w:proofErr w:type="gramEnd"/>
            <w:r w:rsidRPr="00272620">
              <w:rPr>
                <w:rFonts w:eastAsia="仿宋_GB2312"/>
                <w:sz w:val="28"/>
                <w:szCs w:val="28"/>
              </w:rPr>
              <w:t>、</w:t>
            </w:r>
          </w:p>
          <w:p w:rsidR="00272620" w:rsidRPr="00272620" w:rsidRDefault="00272620" w:rsidP="00272620">
            <w:pPr>
              <w:spacing w:line="340" w:lineRule="exact"/>
              <w:rPr>
                <w:rFonts w:eastAsia="仿宋_GB2312"/>
                <w:sz w:val="28"/>
                <w:szCs w:val="28"/>
              </w:rPr>
            </w:pPr>
            <w:r w:rsidRPr="00272620">
              <w:rPr>
                <w:rFonts w:eastAsia="仿宋_GB2312"/>
                <w:sz w:val="28"/>
                <w:szCs w:val="28"/>
              </w:rPr>
              <w:t>质量发展科、</w:t>
            </w:r>
          </w:p>
          <w:p w:rsidR="00272620" w:rsidRPr="00272620" w:rsidRDefault="00272620" w:rsidP="00272620">
            <w:pPr>
              <w:spacing w:line="340" w:lineRule="exact"/>
              <w:rPr>
                <w:rFonts w:eastAsia="仿宋_GB2312"/>
                <w:sz w:val="28"/>
                <w:szCs w:val="28"/>
              </w:rPr>
            </w:pPr>
            <w:r w:rsidRPr="00272620">
              <w:rPr>
                <w:rFonts w:eastAsia="仿宋_GB2312"/>
                <w:sz w:val="28"/>
                <w:szCs w:val="28"/>
              </w:rPr>
              <w:t>质量监督科</w:t>
            </w:r>
          </w:p>
        </w:tc>
        <w:tc>
          <w:tcPr>
            <w:tcW w:w="1485"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2171"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1469"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c>
          <w:tcPr>
            <w:tcW w:w="4374" w:type="dxa"/>
            <w:vMerge/>
            <w:tcBorders>
              <w:tl2br w:val="nil"/>
              <w:tr2bl w:val="nil"/>
            </w:tcBorders>
            <w:vAlign w:val="center"/>
          </w:tcPr>
          <w:p w:rsidR="00272620" w:rsidRPr="00272620" w:rsidRDefault="00272620" w:rsidP="00272620">
            <w:pPr>
              <w:spacing w:line="340" w:lineRule="exact"/>
              <w:rPr>
                <w:rFonts w:eastAsia="仿宋_GB2312"/>
                <w:sz w:val="28"/>
                <w:szCs w:val="28"/>
              </w:rPr>
            </w:pPr>
          </w:p>
        </w:tc>
      </w:tr>
    </w:tbl>
    <w:p w:rsidR="00272620" w:rsidRPr="00272620" w:rsidRDefault="00272620">
      <w:bookmarkStart w:id="0" w:name="_GoBack"/>
      <w:bookmarkEnd w:id="0"/>
    </w:p>
    <w:sectPr w:rsidR="00272620" w:rsidRPr="00272620" w:rsidSect="00D474EB">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EB"/>
    <w:rsid w:val="002542D6"/>
    <w:rsid w:val="00272620"/>
    <w:rsid w:val="002C5E78"/>
    <w:rsid w:val="00D47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E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474EB"/>
    <w:pPr>
      <w:widowControl/>
      <w:spacing w:after="160" w:line="240" w:lineRule="exact"/>
      <w:jc w:val="left"/>
    </w:pPr>
  </w:style>
  <w:style w:type="paragraph" w:customStyle="1" w:styleId="Style8">
    <w:name w:val="_Style 8"/>
    <w:basedOn w:val="a"/>
    <w:rsid w:val="00272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E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474EB"/>
    <w:pPr>
      <w:widowControl/>
      <w:spacing w:after="160" w:line="240" w:lineRule="exact"/>
      <w:jc w:val="left"/>
    </w:pPr>
  </w:style>
  <w:style w:type="paragraph" w:customStyle="1" w:styleId="Style8">
    <w:name w:val="_Style 8"/>
    <w:basedOn w:val="a"/>
    <w:rsid w:val="0027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185</Words>
  <Characters>1056</Characters>
  <Application>Microsoft Office Word</Application>
  <DocSecurity>0</DocSecurity>
  <Lines>8</Lines>
  <Paragraphs>2</Paragraphs>
  <ScaleCrop>false</ScaleCrop>
  <Company>Chinese ORG</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林伟雄</dc:creator>
  <cp:lastModifiedBy>林伟雄</cp:lastModifiedBy>
  <cp:revision>2</cp:revision>
  <dcterms:created xsi:type="dcterms:W3CDTF">2020-12-30T07:17:00Z</dcterms:created>
  <dcterms:modified xsi:type="dcterms:W3CDTF">2020-12-30T07:37:00Z</dcterms:modified>
</cp:coreProperties>
</file>